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1F8434">
      <w:pPr>
        <w:pStyle w:val="17"/>
        <w:rPr>
          <w:rFonts w:ascii="黑体" w:hAnsi="黑体" w:eastAsia="黑体"/>
          <w:sz w:val="32"/>
          <w:szCs w:val="32"/>
        </w:rPr>
      </w:pPr>
      <w:r>
        <w:rPr>
          <w:rFonts w:hint="eastAsia" w:ascii="黑体" w:hAnsi="黑体" w:eastAsia="黑体"/>
          <w:sz w:val="32"/>
          <w:szCs w:val="32"/>
        </w:rPr>
        <w:t>附件</w:t>
      </w:r>
    </w:p>
    <w:p w14:paraId="58A087DF">
      <w:pPr>
        <w:widowControl/>
        <w:rPr>
          <w:sz w:val="32"/>
          <w:szCs w:val="32"/>
        </w:rPr>
      </w:pPr>
    </w:p>
    <w:p w14:paraId="0FEC8E18">
      <w:pPr>
        <w:widowControl/>
        <w:jc w:val="center"/>
        <w:rPr>
          <w:sz w:val="84"/>
          <w:szCs w:val="84"/>
        </w:rPr>
      </w:pPr>
    </w:p>
    <w:p w14:paraId="6B0F6615">
      <w:pPr>
        <w:widowControl/>
        <w:jc w:val="center"/>
        <w:rPr>
          <w:sz w:val="84"/>
          <w:szCs w:val="84"/>
        </w:rPr>
      </w:pPr>
    </w:p>
    <w:p w14:paraId="0A695750">
      <w:pPr>
        <w:widowControl/>
        <w:jc w:val="center"/>
        <w:rPr>
          <w:rFonts w:ascii="方正小标宋简体" w:eastAsia="方正小标宋简体"/>
          <w:sz w:val="84"/>
          <w:szCs w:val="84"/>
        </w:rPr>
      </w:pPr>
      <w:r>
        <w:rPr>
          <w:rFonts w:hint="eastAsia" w:ascii="方正小标宋简体" w:eastAsia="方正小标宋简体"/>
          <w:sz w:val="84"/>
          <w:szCs w:val="84"/>
        </w:rPr>
        <w:t>202</w:t>
      </w:r>
      <w:r>
        <w:rPr>
          <w:rFonts w:hint="eastAsia" w:ascii="方正小标宋简体" w:eastAsia="方正小标宋简体"/>
          <w:sz w:val="84"/>
          <w:szCs w:val="84"/>
          <w:lang w:val="en-US" w:eastAsia="zh-CN"/>
        </w:rPr>
        <w:t>6</w:t>
      </w:r>
      <w:r>
        <w:rPr>
          <w:rFonts w:hint="eastAsia" w:ascii="方正小标宋简体" w:eastAsia="方正小标宋简体"/>
          <w:sz w:val="84"/>
          <w:szCs w:val="84"/>
        </w:rPr>
        <w:t>年度</w:t>
      </w:r>
    </w:p>
    <w:p w14:paraId="7B06BCAD">
      <w:pPr>
        <w:widowControl/>
        <w:jc w:val="center"/>
        <w:rPr>
          <w:rFonts w:hint="eastAsia" w:ascii="方正小标宋简体" w:eastAsia="方正小标宋简体"/>
          <w:sz w:val="84"/>
          <w:szCs w:val="84"/>
        </w:rPr>
      </w:pPr>
      <w:r>
        <w:rPr>
          <w:rFonts w:hint="eastAsia" w:ascii="方正小标宋简体" w:eastAsia="方正小标宋简体"/>
          <w:sz w:val="72"/>
          <w:szCs w:val="72"/>
          <w:lang w:eastAsia="zh-CN"/>
        </w:rPr>
        <w:t>漳平市</w:t>
      </w:r>
      <w:r>
        <w:rPr>
          <w:rFonts w:hint="eastAsia" w:ascii="方正小标宋简体" w:eastAsia="方正小标宋简体"/>
          <w:sz w:val="72"/>
          <w:szCs w:val="72"/>
        </w:rPr>
        <w:t>双洋镇人民政府</w:t>
      </w:r>
    </w:p>
    <w:p w14:paraId="53BF0ECA">
      <w:pPr>
        <w:widowControl/>
        <w:jc w:val="center"/>
        <w:rPr>
          <w:rFonts w:ascii="方正小标宋简体" w:eastAsia="方正小标宋简体"/>
          <w:sz w:val="84"/>
          <w:szCs w:val="84"/>
        </w:rPr>
      </w:pPr>
      <w:r>
        <w:rPr>
          <w:rFonts w:hint="eastAsia" w:ascii="方正小标宋简体" w:eastAsia="方正小标宋简体"/>
          <w:sz w:val="84"/>
          <w:szCs w:val="84"/>
        </w:rPr>
        <w:t>部门预算</w:t>
      </w:r>
    </w:p>
    <w:p w14:paraId="3088B68E">
      <w:pPr>
        <w:widowControl/>
        <w:rPr>
          <w:sz w:val="84"/>
          <w:szCs w:val="84"/>
        </w:rPr>
      </w:pPr>
      <w:r>
        <w:rPr>
          <w:sz w:val="84"/>
          <w:szCs w:val="84"/>
        </w:rPr>
        <w:br w:type="page"/>
      </w:r>
    </w:p>
    <w:p w14:paraId="42B9CADE">
      <w:pPr>
        <w:pStyle w:val="4"/>
        <w:jc w:val="center"/>
        <w:rPr>
          <w:rFonts w:ascii="方正小标宋简体" w:eastAsia="方正小标宋简体" w:hAnsiTheme="majorEastAsia"/>
          <w:sz w:val="44"/>
          <w:lang w:eastAsia="zh-CN"/>
        </w:rPr>
      </w:pPr>
      <w:r>
        <w:rPr>
          <w:rFonts w:hint="eastAsia" w:ascii="方正小标宋简体" w:eastAsia="方正小标宋简体" w:hAnsiTheme="majorEastAsia"/>
          <w:sz w:val="44"/>
          <w:lang w:eastAsia="zh-CN"/>
        </w:rPr>
        <w:t>目录</w:t>
      </w:r>
    </w:p>
    <w:p w14:paraId="1E0A2B4F">
      <w:pPr>
        <w:pStyle w:val="4"/>
        <w:rPr>
          <w:rFonts w:asciiTheme="majorEastAsia" w:hAnsiTheme="majorEastAsia" w:eastAsiaTheme="majorEastAsia"/>
          <w:sz w:val="36"/>
          <w:lang w:eastAsia="zh-CN"/>
        </w:rPr>
      </w:pPr>
    </w:p>
    <w:p w14:paraId="76A639E4">
      <w:pPr>
        <w:pStyle w:val="4"/>
        <w:rPr>
          <w:rFonts w:hint="default" w:ascii="仿宋" w:hAnsi="仿宋" w:eastAsia="仿宋"/>
          <w:b/>
          <w:sz w:val="36"/>
          <w:lang w:val="en-US" w:eastAsia="zh-CN"/>
        </w:rPr>
      </w:pPr>
      <w:r>
        <w:rPr>
          <w:rFonts w:hint="eastAsia" w:ascii="仿宋" w:hAnsi="仿宋" w:eastAsia="仿宋"/>
          <w:b/>
          <w:sz w:val="36"/>
          <w:lang w:eastAsia="zh-CN"/>
        </w:rPr>
        <w:t>第一部分部门概况</w:t>
      </w:r>
      <w:r>
        <w:rPr>
          <w:rFonts w:ascii="仿宋" w:hAnsi="仿宋" w:eastAsia="仿宋"/>
          <w:b/>
          <w:sz w:val="36"/>
          <w:lang w:eastAsia="zh-CN"/>
        </w:rPr>
        <w:t>……………………………………</w:t>
      </w:r>
      <w:r>
        <w:rPr>
          <w:rFonts w:hint="eastAsia" w:ascii="仿宋" w:hAnsi="仿宋" w:eastAsia="仿宋"/>
          <w:b/>
          <w:sz w:val="36"/>
          <w:lang w:val="en-US" w:eastAsia="zh-CN"/>
        </w:rPr>
        <w:t>4</w:t>
      </w:r>
    </w:p>
    <w:p w14:paraId="6AB0DA8E">
      <w:pPr>
        <w:pStyle w:val="4"/>
        <w:ind w:firstLine="360" w:firstLineChars="100"/>
        <w:rPr>
          <w:rFonts w:hint="default" w:ascii="仿宋" w:hAnsi="仿宋" w:eastAsia="仿宋"/>
          <w:sz w:val="36"/>
          <w:lang w:val="en-US" w:eastAsia="zh-CN"/>
        </w:rPr>
      </w:pPr>
      <w:r>
        <w:rPr>
          <w:rFonts w:hint="eastAsia" w:ascii="仿宋" w:hAnsi="仿宋" w:eastAsia="仿宋"/>
          <w:sz w:val="36"/>
          <w:lang w:eastAsia="zh-CN"/>
        </w:rPr>
        <w:t>一、部门主要职责</w:t>
      </w:r>
      <w:r>
        <w:rPr>
          <w:rFonts w:ascii="仿宋" w:hAnsi="仿宋" w:eastAsia="仿宋"/>
          <w:sz w:val="36"/>
          <w:lang w:eastAsia="zh-CN"/>
        </w:rPr>
        <w:t>…………………………………</w:t>
      </w:r>
      <w:r>
        <w:rPr>
          <w:rFonts w:ascii="仿宋" w:hAnsi="仿宋" w:eastAsia="仿宋"/>
          <w:b/>
          <w:sz w:val="36"/>
          <w:lang w:eastAsia="zh-CN"/>
        </w:rPr>
        <w:t>…</w:t>
      </w:r>
      <w:r>
        <w:rPr>
          <w:rFonts w:hint="eastAsia" w:ascii="仿宋" w:hAnsi="仿宋" w:eastAsia="仿宋"/>
          <w:sz w:val="36"/>
          <w:lang w:val="en-US" w:eastAsia="zh-CN"/>
        </w:rPr>
        <w:t>5</w:t>
      </w:r>
    </w:p>
    <w:p w14:paraId="082645C6">
      <w:pPr>
        <w:pStyle w:val="4"/>
        <w:ind w:firstLine="360" w:firstLineChars="100"/>
        <w:rPr>
          <w:rFonts w:hint="default" w:ascii="仿宋" w:hAnsi="仿宋" w:eastAsia="仿宋"/>
          <w:sz w:val="36"/>
          <w:lang w:val="en-US" w:eastAsia="zh-CN"/>
        </w:rPr>
      </w:pPr>
      <w:r>
        <w:rPr>
          <w:rFonts w:hint="eastAsia" w:ascii="仿宋" w:hAnsi="仿宋" w:eastAsia="仿宋"/>
          <w:sz w:val="36"/>
          <w:lang w:eastAsia="zh-CN"/>
        </w:rPr>
        <w:t>二、部门预算单位构成</w:t>
      </w:r>
      <w:r>
        <w:rPr>
          <w:rFonts w:ascii="仿宋" w:hAnsi="仿宋" w:eastAsia="仿宋"/>
          <w:sz w:val="36"/>
          <w:lang w:eastAsia="zh-CN"/>
        </w:rPr>
        <w:t>…………………………</w:t>
      </w:r>
      <w:r>
        <w:rPr>
          <w:rFonts w:ascii="仿宋" w:hAnsi="仿宋" w:eastAsia="仿宋"/>
          <w:b/>
          <w:sz w:val="36"/>
          <w:lang w:eastAsia="zh-CN"/>
        </w:rPr>
        <w:t>…</w:t>
      </w:r>
      <w:r>
        <w:rPr>
          <w:rFonts w:ascii="仿宋" w:hAnsi="仿宋" w:eastAsia="仿宋"/>
          <w:sz w:val="36"/>
          <w:lang w:eastAsia="zh-CN"/>
        </w:rPr>
        <w:t>…</w:t>
      </w:r>
      <w:r>
        <w:rPr>
          <w:rFonts w:hint="eastAsia" w:ascii="仿宋" w:hAnsi="仿宋" w:eastAsia="仿宋"/>
          <w:sz w:val="36"/>
          <w:lang w:val="en-US" w:eastAsia="zh-CN"/>
        </w:rPr>
        <w:t>5</w:t>
      </w:r>
    </w:p>
    <w:p w14:paraId="72119697">
      <w:pPr>
        <w:pStyle w:val="4"/>
        <w:ind w:firstLine="360" w:firstLineChars="100"/>
        <w:rPr>
          <w:rFonts w:hint="default" w:ascii="仿宋" w:hAnsi="仿宋" w:eastAsia="仿宋"/>
          <w:sz w:val="36"/>
          <w:lang w:val="en-US" w:eastAsia="zh-CN"/>
        </w:rPr>
      </w:pPr>
      <w:r>
        <w:rPr>
          <w:rFonts w:hint="eastAsia" w:ascii="仿宋" w:hAnsi="仿宋" w:eastAsia="仿宋"/>
          <w:sz w:val="36"/>
          <w:lang w:eastAsia="zh-CN"/>
        </w:rPr>
        <w:t>三、部门主要工作任务</w:t>
      </w:r>
      <w:r>
        <w:rPr>
          <w:rFonts w:ascii="仿宋" w:hAnsi="仿宋" w:eastAsia="仿宋"/>
          <w:sz w:val="36"/>
          <w:lang w:eastAsia="zh-CN"/>
        </w:rPr>
        <w:t>…………………………</w:t>
      </w:r>
      <w:r>
        <w:rPr>
          <w:rFonts w:ascii="仿宋" w:hAnsi="仿宋" w:eastAsia="仿宋"/>
          <w:b/>
          <w:sz w:val="36"/>
          <w:lang w:eastAsia="zh-CN"/>
        </w:rPr>
        <w:t>…</w:t>
      </w:r>
      <w:r>
        <w:rPr>
          <w:rFonts w:ascii="仿宋" w:hAnsi="仿宋" w:eastAsia="仿宋"/>
          <w:sz w:val="36"/>
          <w:lang w:eastAsia="zh-CN"/>
        </w:rPr>
        <w:t>…</w:t>
      </w:r>
      <w:r>
        <w:rPr>
          <w:rFonts w:hint="eastAsia" w:ascii="仿宋" w:hAnsi="仿宋" w:eastAsia="仿宋"/>
          <w:sz w:val="36"/>
          <w:lang w:val="en-US" w:eastAsia="zh-CN"/>
        </w:rPr>
        <w:t>5</w:t>
      </w:r>
    </w:p>
    <w:p w14:paraId="504FCB30">
      <w:pPr>
        <w:pStyle w:val="4"/>
        <w:rPr>
          <w:rFonts w:hint="default" w:ascii="仿宋" w:hAnsi="仿宋" w:eastAsia="仿宋"/>
          <w:b/>
          <w:sz w:val="36"/>
          <w:szCs w:val="20"/>
          <w:lang w:val="en-US" w:eastAsia="zh-CN"/>
        </w:rPr>
      </w:pPr>
      <w:r>
        <w:rPr>
          <w:rFonts w:hint="eastAsia" w:ascii="仿宋" w:hAnsi="仿宋" w:eastAsia="仿宋"/>
          <w:b/>
          <w:sz w:val="36"/>
          <w:szCs w:val="20"/>
          <w:lang w:eastAsia="zh-CN"/>
        </w:rPr>
        <w:t>第二部分202</w:t>
      </w:r>
      <w:r>
        <w:rPr>
          <w:rFonts w:hint="eastAsia" w:ascii="仿宋" w:hAnsi="仿宋" w:eastAsia="仿宋"/>
          <w:b/>
          <w:sz w:val="36"/>
          <w:szCs w:val="20"/>
          <w:lang w:val="en-US" w:eastAsia="zh-CN"/>
        </w:rPr>
        <w:t>6</w:t>
      </w:r>
      <w:r>
        <w:rPr>
          <w:rFonts w:hint="eastAsia" w:ascii="仿宋" w:hAnsi="仿宋" w:eastAsia="仿宋"/>
          <w:b/>
          <w:sz w:val="36"/>
          <w:szCs w:val="20"/>
          <w:lang w:eastAsia="zh-CN"/>
        </w:rPr>
        <w:t>年度部门预算表</w:t>
      </w:r>
      <w:r>
        <w:rPr>
          <w:rFonts w:ascii="仿宋" w:hAnsi="仿宋" w:eastAsia="仿宋"/>
          <w:sz w:val="36"/>
          <w:szCs w:val="20"/>
          <w:lang w:eastAsia="zh-CN"/>
        </w:rPr>
        <w:t>………………………</w:t>
      </w:r>
      <w:r>
        <w:rPr>
          <w:rFonts w:hint="eastAsia" w:ascii="仿宋" w:hAnsi="仿宋" w:eastAsia="仿宋"/>
          <w:sz w:val="36"/>
          <w:szCs w:val="20"/>
          <w:lang w:val="en-US" w:eastAsia="zh-CN"/>
        </w:rPr>
        <w:t>19</w:t>
      </w:r>
    </w:p>
    <w:p w14:paraId="18AB443F">
      <w:pPr>
        <w:pStyle w:val="4"/>
        <w:ind w:firstLine="360" w:firstLineChars="100"/>
        <w:rPr>
          <w:rFonts w:hint="default" w:ascii="仿宋" w:hAnsi="仿宋" w:eastAsia="仿宋"/>
          <w:sz w:val="36"/>
          <w:lang w:val="en-US" w:eastAsia="zh-CN"/>
        </w:rPr>
      </w:pPr>
      <w:r>
        <w:rPr>
          <w:rFonts w:hint="eastAsia" w:ascii="仿宋" w:hAnsi="仿宋" w:eastAsia="仿宋"/>
          <w:sz w:val="36"/>
          <w:lang w:eastAsia="zh-CN"/>
        </w:rPr>
        <w:t>一、收支预算总表</w:t>
      </w:r>
      <w:r>
        <w:rPr>
          <w:rFonts w:ascii="仿宋" w:hAnsi="仿宋" w:eastAsia="仿宋"/>
          <w:sz w:val="36"/>
          <w:lang w:eastAsia="zh-CN"/>
        </w:rPr>
        <w:t>…………………………………</w:t>
      </w:r>
      <w:r>
        <w:rPr>
          <w:rFonts w:hint="eastAsia" w:ascii="仿宋" w:hAnsi="仿宋" w:eastAsia="仿宋"/>
          <w:sz w:val="36"/>
          <w:lang w:val="en-US" w:eastAsia="zh-CN"/>
        </w:rPr>
        <w:t>20</w:t>
      </w:r>
    </w:p>
    <w:p w14:paraId="7FBD037F">
      <w:pPr>
        <w:pStyle w:val="4"/>
        <w:ind w:firstLine="360" w:firstLineChars="100"/>
        <w:rPr>
          <w:rFonts w:hint="default" w:ascii="仿宋" w:hAnsi="仿宋" w:eastAsia="仿宋"/>
          <w:sz w:val="36"/>
          <w:lang w:val="en-US" w:eastAsia="zh-CN"/>
        </w:rPr>
      </w:pPr>
      <w:r>
        <w:rPr>
          <w:rFonts w:hint="eastAsia" w:ascii="仿宋" w:hAnsi="仿宋" w:eastAsia="仿宋"/>
          <w:sz w:val="36"/>
          <w:lang w:eastAsia="zh-CN"/>
        </w:rPr>
        <w:t>二、收入预算总表</w:t>
      </w:r>
      <w:r>
        <w:rPr>
          <w:rFonts w:ascii="仿宋" w:hAnsi="仿宋" w:eastAsia="仿宋"/>
          <w:sz w:val="36"/>
          <w:lang w:eastAsia="zh-CN"/>
        </w:rPr>
        <w:t>…………………………………</w:t>
      </w:r>
      <w:r>
        <w:rPr>
          <w:rFonts w:hint="eastAsia" w:ascii="仿宋" w:hAnsi="仿宋" w:eastAsia="仿宋"/>
          <w:sz w:val="36"/>
          <w:lang w:val="en-US" w:eastAsia="zh-CN"/>
        </w:rPr>
        <w:t>21</w:t>
      </w:r>
    </w:p>
    <w:p w14:paraId="4A82A3E7">
      <w:pPr>
        <w:pStyle w:val="4"/>
        <w:ind w:firstLine="360" w:firstLineChars="100"/>
        <w:rPr>
          <w:rFonts w:hint="default" w:ascii="仿宋" w:hAnsi="仿宋" w:eastAsia="仿宋"/>
          <w:sz w:val="36"/>
          <w:lang w:val="en-US" w:eastAsia="zh-CN"/>
        </w:rPr>
      </w:pPr>
      <w:r>
        <w:rPr>
          <w:rFonts w:hint="eastAsia" w:ascii="仿宋" w:hAnsi="仿宋" w:eastAsia="仿宋"/>
          <w:sz w:val="36"/>
          <w:lang w:eastAsia="zh-CN"/>
        </w:rPr>
        <w:t>三、支出预算总表</w:t>
      </w:r>
      <w:r>
        <w:rPr>
          <w:rFonts w:ascii="仿宋" w:hAnsi="仿宋" w:eastAsia="仿宋"/>
          <w:sz w:val="36"/>
          <w:lang w:eastAsia="zh-CN"/>
        </w:rPr>
        <w:t>…………………………………</w:t>
      </w:r>
      <w:r>
        <w:rPr>
          <w:rFonts w:hint="eastAsia" w:ascii="仿宋" w:hAnsi="仿宋" w:eastAsia="仿宋"/>
          <w:sz w:val="36"/>
          <w:lang w:val="en-US" w:eastAsia="zh-CN"/>
        </w:rPr>
        <w:t>22</w:t>
      </w:r>
    </w:p>
    <w:p w14:paraId="75DAA17F">
      <w:pPr>
        <w:pStyle w:val="4"/>
        <w:ind w:firstLine="360" w:firstLineChars="100"/>
        <w:rPr>
          <w:rFonts w:hint="default" w:ascii="仿宋" w:hAnsi="仿宋" w:eastAsia="仿宋"/>
          <w:sz w:val="36"/>
          <w:lang w:val="en-US" w:eastAsia="zh-CN"/>
        </w:rPr>
      </w:pPr>
      <w:r>
        <w:rPr>
          <w:rFonts w:hint="eastAsia" w:ascii="仿宋" w:hAnsi="仿宋" w:eastAsia="仿宋"/>
          <w:sz w:val="36"/>
          <w:lang w:eastAsia="zh-CN"/>
        </w:rPr>
        <w:t>四、财政拨款收支预算总表</w:t>
      </w:r>
      <w:r>
        <w:rPr>
          <w:rFonts w:ascii="仿宋" w:hAnsi="仿宋" w:eastAsia="仿宋"/>
          <w:sz w:val="36"/>
          <w:lang w:eastAsia="zh-CN"/>
        </w:rPr>
        <w:t>………………………</w:t>
      </w:r>
      <w:r>
        <w:rPr>
          <w:rFonts w:hint="eastAsia" w:ascii="仿宋" w:hAnsi="仿宋" w:eastAsia="仿宋"/>
          <w:sz w:val="36"/>
          <w:lang w:val="en-US" w:eastAsia="zh-CN"/>
        </w:rPr>
        <w:t>23</w:t>
      </w:r>
    </w:p>
    <w:p w14:paraId="2BBFCA15">
      <w:pPr>
        <w:pStyle w:val="4"/>
        <w:ind w:firstLine="360" w:firstLineChars="100"/>
        <w:rPr>
          <w:rFonts w:hint="default" w:ascii="仿宋" w:hAnsi="仿宋" w:eastAsia="仿宋"/>
          <w:sz w:val="36"/>
          <w:lang w:val="en-US" w:eastAsia="zh-CN"/>
        </w:rPr>
      </w:pPr>
      <w:r>
        <w:rPr>
          <w:rFonts w:hint="eastAsia" w:ascii="仿宋" w:hAnsi="仿宋" w:eastAsia="仿宋"/>
          <w:sz w:val="36"/>
          <w:lang w:eastAsia="zh-CN"/>
        </w:rPr>
        <w:t>五、一般公共预算拨款支出预算表</w:t>
      </w:r>
      <w:r>
        <w:rPr>
          <w:rFonts w:ascii="仿宋" w:hAnsi="仿宋" w:eastAsia="仿宋"/>
          <w:sz w:val="36"/>
          <w:lang w:eastAsia="zh-CN"/>
        </w:rPr>
        <w:t>………………</w:t>
      </w:r>
      <w:r>
        <w:rPr>
          <w:rFonts w:hint="eastAsia" w:ascii="仿宋" w:hAnsi="仿宋" w:eastAsia="仿宋"/>
          <w:sz w:val="36"/>
          <w:lang w:val="en-US" w:eastAsia="zh-CN"/>
        </w:rPr>
        <w:t>24</w:t>
      </w:r>
    </w:p>
    <w:p w14:paraId="795D9D24">
      <w:pPr>
        <w:pStyle w:val="4"/>
        <w:ind w:firstLine="360" w:firstLineChars="100"/>
        <w:rPr>
          <w:rFonts w:hint="default" w:ascii="仿宋" w:hAnsi="仿宋" w:eastAsia="仿宋"/>
          <w:sz w:val="36"/>
          <w:lang w:val="en-US" w:eastAsia="zh-CN"/>
        </w:rPr>
      </w:pPr>
      <w:r>
        <w:rPr>
          <w:rFonts w:hint="eastAsia" w:ascii="仿宋" w:hAnsi="仿宋" w:eastAsia="仿宋"/>
          <w:sz w:val="36"/>
          <w:lang w:eastAsia="zh-CN"/>
        </w:rPr>
        <w:t>六、政府性基金预算拨款支出预算表</w:t>
      </w:r>
      <w:r>
        <w:rPr>
          <w:rFonts w:ascii="仿宋" w:hAnsi="仿宋" w:eastAsia="仿宋"/>
          <w:sz w:val="36"/>
          <w:lang w:eastAsia="zh-CN"/>
        </w:rPr>
        <w:t>……………</w:t>
      </w:r>
      <w:r>
        <w:rPr>
          <w:rFonts w:hint="eastAsia" w:ascii="仿宋" w:hAnsi="仿宋" w:eastAsia="仿宋"/>
          <w:sz w:val="36"/>
          <w:lang w:val="en-US" w:eastAsia="zh-CN"/>
        </w:rPr>
        <w:t>25</w:t>
      </w:r>
    </w:p>
    <w:p w14:paraId="0F3D9CD4">
      <w:pPr>
        <w:pStyle w:val="4"/>
        <w:ind w:firstLine="360" w:firstLineChars="100"/>
        <w:rPr>
          <w:rFonts w:hint="default" w:ascii="仿宋" w:hAnsi="仿宋" w:eastAsia="仿宋"/>
          <w:sz w:val="36"/>
          <w:lang w:val="en-US" w:eastAsia="zh-CN"/>
        </w:rPr>
      </w:pPr>
      <w:r>
        <w:rPr>
          <w:rFonts w:hint="eastAsia" w:ascii="仿宋" w:hAnsi="仿宋" w:eastAsia="仿宋"/>
          <w:sz w:val="36"/>
          <w:lang w:eastAsia="zh-CN"/>
        </w:rPr>
        <w:t>七、国有资本经营预算拨款支出预算表…………</w:t>
      </w:r>
      <w:r>
        <w:rPr>
          <w:rFonts w:hint="eastAsia" w:ascii="仿宋" w:hAnsi="仿宋" w:eastAsia="仿宋"/>
          <w:sz w:val="36"/>
          <w:lang w:val="en-US" w:eastAsia="zh-CN"/>
        </w:rPr>
        <w:t>26</w:t>
      </w:r>
    </w:p>
    <w:p w14:paraId="61172596">
      <w:pPr>
        <w:pStyle w:val="4"/>
        <w:ind w:firstLine="360" w:firstLineChars="100"/>
        <w:rPr>
          <w:rFonts w:hint="default" w:ascii="仿宋" w:hAnsi="仿宋" w:eastAsia="仿宋"/>
          <w:sz w:val="36"/>
          <w:lang w:val="en-US" w:eastAsia="zh-CN"/>
        </w:rPr>
      </w:pPr>
      <w:r>
        <w:rPr>
          <w:rFonts w:hint="eastAsia" w:ascii="仿宋" w:hAnsi="仿宋" w:eastAsia="仿宋"/>
          <w:sz w:val="36"/>
          <w:lang w:eastAsia="zh-CN"/>
        </w:rPr>
        <w:t>八、一般公共预算支出经济分类情况表</w:t>
      </w:r>
      <w:r>
        <w:rPr>
          <w:rFonts w:ascii="仿宋" w:hAnsi="仿宋" w:eastAsia="仿宋"/>
          <w:sz w:val="36"/>
          <w:lang w:eastAsia="zh-CN"/>
        </w:rPr>
        <w:t>…………</w:t>
      </w:r>
      <w:r>
        <w:rPr>
          <w:rFonts w:hint="eastAsia" w:ascii="仿宋" w:hAnsi="仿宋" w:eastAsia="仿宋"/>
          <w:sz w:val="36"/>
          <w:lang w:val="en-US" w:eastAsia="zh-CN"/>
        </w:rPr>
        <w:t>27</w:t>
      </w:r>
    </w:p>
    <w:p w14:paraId="52D8289E">
      <w:pPr>
        <w:pStyle w:val="4"/>
        <w:ind w:firstLine="360" w:firstLineChars="100"/>
        <w:rPr>
          <w:rFonts w:hint="default" w:ascii="仿宋" w:hAnsi="仿宋" w:eastAsia="仿宋"/>
          <w:sz w:val="36"/>
          <w:lang w:val="en-US" w:eastAsia="zh-CN"/>
        </w:rPr>
      </w:pPr>
      <w:r>
        <w:rPr>
          <w:rFonts w:hint="eastAsia" w:ascii="仿宋" w:hAnsi="仿宋" w:eastAsia="仿宋"/>
          <w:sz w:val="36"/>
          <w:lang w:eastAsia="zh-CN"/>
        </w:rPr>
        <w:t>九、一般公共预算基本支出经济分类情况表</w:t>
      </w:r>
      <w:r>
        <w:rPr>
          <w:rFonts w:ascii="仿宋" w:hAnsi="仿宋" w:eastAsia="仿宋"/>
          <w:sz w:val="36"/>
          <w:lang w:eastAsia="zh-CN"/>
        </w:rPr>
        <w:t>……</w:t>
      </w:r>
      <w:r>
        <w:rPr>
          <w:rFonts w:hint="eastAsia" w:ascii="仿宋" w:hAnsi="仿宋" w:eastAsia="仿宋"/>
          <w:sz w:val="36"/>
          <w:lang w:val="en-US" w:eastAsia="zh-CN"/>
        </w:rPr>
        <w:t>28</w:t>
      </w:r>
    </w:p>
    <w:p w14:paraId="1C4911B8">
      <w:pPr>
        <w:pStyle w:val="4"/>
        <w:ind w:firstLine="360" w:firstLineChars="100"/>
        <w:rPr>
          <w:rFonts w:hint="default" w:ascii="仿宋" w:hAnsi="仿宋" w:eastAsia="仿宋"/>
          <w:sz w:val="36"/>
          <w:lang w:val="en-US" w:eastAsia="zh-CN"/>
        </w:rPr>
      </w:pPr>
      <w:r>
        <w:rPr>
          <w:rFonts w:hint="eastAsia" w:ascii="仿宋" w:hAnsi="仿宋" w:eastAsia="仿宋"/>
          <w:sz w:val="36"/>
          <w:lang w:eastAsia="zh-CN"/>
        </w:rPr>
        <w:t>十、一般公共预算“三公”经费支出预算表</w:t>
      </w:r>
      <w:r>
        <w:rPr>
          <w:rFonts w:ascii="仿宋" w:hAnsi="仿宋" w:eastAsia="仿宋"/>
          <w:sz w:val="36"/>
          <w:lang w:eastAsia="zh-CN"/>
        </w:rPr>
        <w:t>……</w:t>
      </w:r>
      <w:r>
        <w:rPr>
          <w:rFonts w:hint="eastAsia" w:ascii="仿宋" w:hAnsi="仿宋" w:eastAsia="仿宋"/>
          <w:sz w:val="36"/>
          <w:lang w:val="en-US" w:eastAsia="zh-CN"/>
        </w:rPr>
        <w:t>32</w:t>
      </w:r>
    </w:p>
    <w:p w14:paraId="63BEB2B0">
      <w:pPr>
        <w:pStyle w:val="4"/>
        <w:ind w:firstLine="360" w:firstLineChars="100"/>
        <w:rPr>
          <w:rFonts w:hint="default" w:ascii="仿宋" w:hAnsi="仿宋" w:eastAsia="仿宋"/>
          <w:sz w:val="36"/>
          <w:lang w:val="en-US" w:eastAsia="zh-CN"/>
        </w:rPr>
      </w:pPr>
      <w:r>
        <w:rPr>
          <w:rFonts w:hint="eastAsia" w:ascii="仿宋" w:hAnsi="仿宋" w:eastAsia="仿宋"/>
          <w:sz w:val="36"/>
          <w:lang w:eastAsia="zh-CN"/>
        </w:rPr>
        <w:t>十一、部门专项资金管理清单目录</w:t>
      </w:r>
      <w:r>
        <w:rPr>
          <w:rFonts w:ascii="仿宋" w:hAnsi="仿宋" w:eastAsia="仿宋"/>
          <w:sz w:val="36"/>
          <w:lang w:eastAsia="zh-CN"/>
        </w:rPr>
        <w:t>………………</w:t>
      </w:r>
      <w:r>
        <w:rPr>
          <w:rFonts w:hint="eastAsia" w:ascii="仿宋" w:hAnsi="仿宋" w:eastAsia="仿宋"/>
          <w:sz w:val="36"/>
          <w:lang w:val="en-US" w:eastAsia="zh-CN"/>
        </w:rPr>
        <w:t>33</w:t>
      </w:r>
    </w:p>
    <w:p w14:paraId="3D60E948">
      <w:pPr>
        <w:widowControl/>
        <w:rPr>
          <w:rFonts w:hint="default" w:ascii="仿宋" w:hAnsi="仿宋" w:eastAsia="仿宋"/>
          <w:b/>
          <w:sz w:val="40"/>
          <w:lang w:val="en-US" w:eastAsia="zh-CN"/>
        </w:rPr>
      </w:pPr>
      <w:r>
        <w:rPr>
          <w:rFonts w:hint="eastAsia" w:ascii="仿宋" w:hAnsi="仿宋" w:eastAsia="仿宋"/>
          <w:b/>
          <w:sz w:val="40"/>
        </w:rPr>
        <w:t>第三部分</w:t>
      </w:r>
      <w:r>
        <w:rPr>
          <w:rFonts w:hint="eastAsia" w:ascii="仿宋" w:hAnsi="仿宋" w:eastAsia="仿宋" w:cs="Times New Roman"/>
          <w:b/>
          <w:sz w:val="36"/>
          <w:szCs w:val="20"/>
        </w:rPr>
        <w:t>202</w:t>
      </w:r>
      <w:r>
        <w:rPr>
          <w:rFonts w:hint="eastAsia" w:ascii="仿宋" w:hAnsi="仿宋" w:eastAsia="仿宋" w:cs="Times New Roman"/>
          <w:b/>
          <w:sz w:val="36"/>
          <w:szCs w:val="20"/>
          <w:lang w:val="en-US" w:eastAsia="zh-CN"/>
        </w:rPr>
        <w:t>6</w:t>
      </w:r>
      <w:r>
        <w:rPr>
          <w:rFonts w:hint="eastAsia" w:ascii="仿宋" w:hAnsi="仿宋" w:eastAsia="仿宋"/>
          <w:b/>
          <w:sz w:val="40"/>
        </w:rPr>
        <w:t>年度部门预算情况说明</w:t>
      </w:r>
      <w:r>
        <w:rPr>
          <w:rFonts w:ascii="仿宋" w:hAnsi="仿宋" w:eastAsia="仿宋"/>
          <w:sz w:val="36"/>
        </w:rPr>
        <w:t>…………</w:t>
      </w:r>
      <w:r>
        <w:rPr>
          <w:rFonts w:hint="eastAsia" w:ascii="仿宋" w:hAnsi="仿宋" w:eastAsia="仿宋"/>
          <w:sz w:val="36"/>
          <w:lang w:val="en-US" w:eastAsia="zh-CN"/>
        </w:rPr>
        <w:t>34</w:t>
      </w:r>
    </w:p>
    <w:p w14:paraId="76A92A6F">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一、预算收支总体情况</w:t>
      </w:r>
      <w:r>
        <w:rPr>
          <w:rFonts w:ascii="仿宋" w:hAnsi="仿宋" w:eastAsia="仿宋"/>
          <w:sz w:val="36"/>
        </w:rPr>
        <w:t>…………………</w:t>
      </w:r>
      <w:r>
        <w:rPr>
          <w:rFonts w:ascii="仿宋" w:hAnsi="仿宋" w:eastAsia="仿宋" w:cs="Times New Roman"/>
          <w:kern w:val="0"/>
          <w:sz w:val="36"/>
          <w:szCs w:val="20"/>
        </w:rPr>
        <w:t>…</w:t>
      </w:r>
      <w:r>
        <w:rPr>
          <w:rFonts w:ascii="仿宋" w:hAnsi="仿宋" w:eastAsia="仿宋"/>
          <w:sz w:val="36"/>
        </w:rPr>
        <w:t>………</w:t>
      </w:r>
      <w:r>
        <w:rPr>
          <w:rFonts w:hint="eastAsia" w:ascii="仿宋" w:hAnsi="仿宋" w:eastAsia="仿宋"/>
          <w:sz w:val="36"/>
          <w:lang w:val="en-US" w:eastAsia="zh-CN"/>
        </w:rPr>
        <w:t>35</w:t>
      </w:r>
    </w:p>
    <w:p w14:paraId="23C71ADE">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二、一般公共预算拨款支出情况</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35</w:t>
      </w:r>
    </w:p>
    <w:p w14:paraId="70CA28BB">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三、政府性基金预算拨款支出情况</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36</w:t>
      </w:r>
    </w:p>
    <w:p w14:paraId="639F57B8">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四、国有资本经营预算拨款支出情况……………</w:t>
      </w:r>
      <w:r>
        <w:rPr>
          <w:rFonts w:hint="eastAsia" w:ascii="仿宋" w:hAnsi="仿宋" w:eastAsia="仿宋" w:cs="Times New Roman"/>
          <w:kern w:val="0"/>
          <w:sz w:val="36"/>
          <w:szCs w:val="20"/>
          <w:lang w:val="en-US" w:eastAsia="zh-CN"/>
        </w:rPr>
        <w:t>36</w:t>
      </w:r>
    </w:p>
    <w:p w14:paraId="0AE5306F">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五、一般公共预算拨款基本支出情况</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36</w:t>
      </w:r>
    </w:p>
    <w:p w14:paraId="697FC913">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六、一般公共预算“三公”经费支出情况</w:t>
      </w:r>
      <w:r>
        <w:rPr>
          <w:rFonts w:ascii="仿宋" w:hAnsi="仿宋" w:eastAsia="仿宋" w:cs="Times New Roman"/>
          <w:kern w:val="0"/>
          <w:sz w:val="36"/>
          <w:szCs w:val="20"/>
        </w:rPr>
        <w:t>…</w:t>
      </w:r>
      <w:r>
        <w:rPr>
          <w:rFonts w:hint="eastAsia" w:ascii="仿宋" w:hAnsi="仿宋" w:eastAsia="仿宋" w:cs="Times New Roman"/>
          <w:kern w:val="0"/>
          <w:sz w:val="36"/>
          <w:szCs w:val="20"/>
        </w:rPr>
        <w:t>…</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37</w:t>
      </w:r>
    </w:p>
    <w:p w14:paraId="692387BC">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七、预算绩效目标情况</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37</w:t>
      </w:r>
    </w:p>
    <w:p w14:paraId="4CEEF5FE">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八、其他重要事项说明</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38</w:t>
      </w:r>
    </w:p>
    <w:p w14:paraId="552B71F6">
      <w:pPr>
        <w:pStyle w:val="4"/>
        <w:spacing w:before="3"/>
        <w:rPr>
          <w:rFonts w:hint="default" w:ascii="仿宋" w:hAnsi="仿宋" w:eastAsia="仿宋"/>
          <w:sz w:val="26"/>
          <w:lang w:val="en-US" w:eastAsia="zh-CN"/>
        </w:rPr>
      </w:pPr>
      <w:r>
        <w:rPr>
          <w:rFonts w:hint="eastAsia" w:ascii="仿宋" w:hAnsi="仿宋" w:eastAsia="仿宋"/>
          <w:b/>
          <w:sz w:val="40"/>
          <w:lang w:eastAsia="zh-CN"/>
        </w:rPr>
        <w:t>第四部分名词解释</w:t>
      </w:r>
      <w:r>
        <w:rPr>
          <w:rFonts w:ascii="仿宋" w:hAnsi="仿宋" w:eastAsia="仿宋"/>
          <w:sz w:val="36"/>
          <w:lang w:eastAsia="zh-CN"/>
        </w:rPr>
        <w:t>…………………………………</w:t>
      </w:r>
      <w:r>
        <w:rPr>
          <w:rFonts w:hint="eastAsia" w:ascii="仿宋" w:hAnsi="仿宋" w:eastAsia="仿宋"/>
          <w:sz w:val="36"/>
          <w:lang w:val="en-US" w:eastAsia="zh-CN"/>
        </w:rPr>
        <w:t>39</w:t>
      </w:r>
    </w:p>
    <w:p w14:paraId="60738C9A">
      <w:pPr>
        <w:widowControl/>
      </w:pPr>
      <w:r>
        <w:tab/>
      </w:r>
    </w:p>
    <w:p w14:paraId="59E0BAF4">
      <w:pPr>
        <w:widowControl/>
        <w:spacing w:line="240" w:lineRule="auto"/>
        <w:jc w:val="left"/>
        <w:rPr>
          <w:rFonts w:ascii="黑体" w:hAnsi="黑体" w:eastAsia="黑体" w:cs="Times New Roman"/>
          <w:kern w:val="0"/>
          <w:sz w:val="36"/>
          <w:szCs w:val="36"/>
        </w:rPr>
      </w:pPr>
      <w:r>
        <w:rPr>
          <w:rFonts w:ascii="黑体" w:hAnsi="黑体" w:eastAsia="黑体"/>
          <w:sz w:val="36"/>
          <w:szCs w:val="36"/>
        </w:rPr>
        <w:br w:type="page"/>
      </w:r>
    </w:p>
    <w:p w14:paraId="14A13690">
      <w:pPr>
        <w:pStyle w:val="4"/>
        <w:jc w:val="center"/>
        <w:rPr>
          <w:rFonts w:ascii="黑体" w:hAnsi="黑体" w:eastAsia="黑体"/>
          <w:sz w:val="36"/>
          <w:szCs w:val="36"/>
          <w:lang w:eastAsia="zh-CN"/>
        </w:rPr>
      </w:pPr>
    </w:p>
    <w:p w14:paraId="0206D078">
      <w:pPr>
        <w:pStyle w:val="4"/>
        <w:jc w:val="center"/>
        <w:rPr>
          <w:rFonts w:ascii="黑体" w:hAnsi="黑体" w:eastAsia="黑体"/>
          <w:sz w:val="36"/>
          <w:szCs w:val="36"/>
          <w:lang w:eastAsia="zh-CN"/>
        </w:rPr>
      </w:pPr>
    </w:p>
    <w:p w14:paraId="1E5A533D">
      <w:pPr>
        <w:pStyle w:val="4"/>
        <w:jc w:val="center"/>
        <w:rPr>
          <w:rFonts w:ascii="黑体" w:hAnsi="黑体" w:eastAsia="黑体"/>
          <w:sz w:val="36"/>
          <w:szCs w:val="36"/>
          <w:lang w:eastAsia="zh-CN"/>
        </w:rPr>
      </w:pPr>
    </w:p>
    <w:p w14:paraId="6A16E2A4">
      <w:pPr>
        <w:pStyle w:val="4"/>
        <w:jc w:val="center"/>
        <w:rPr>
          <w:rFonts w:ascii="黑体" w:hAnsi="黑体" w:eastAsia="黑体"/>
          <w:sz w:val="36"/>
          <w:szCs w:val="36"/>
          <w:lang w:eastAsia="zh-CN"/>
        </w:rPr>
      </w:pPr>
    </w:p>
    <w:p w14:paraId="1392F1C5">
      <w:pPr>
        <w:pStyle w:val="4"/>
        <w:jc w:val="center"/>
        <w:rPr>
          <w:rFonts w:ascii="黑体" w:hAnsi="黑体" w:eastAsia="黑体"/>
          <w:sz w:val="36"/>
          <w:szCs w:val="36"/>
          <w:lang w:eastAsia="zh-CN"/>
        </w:rPr>
      </w:pPr>
    </w:p>
    <w:p w14:paraId="7DE7B9D5">
      <w:pPr>
        <w:pStyle w:val="4"/>
        <w:jc w:val="center"/>
        <w:rPr>
          <w:rFonts w:ascii="黑体" w:hAnsi="黑体" w:eastAsia="黑体"/>
          <w:sz w:val="36"/>
          <w:szCs w:val="36"/>
          <w:lang w:eastAsia="zh-CN"/>
        </w:rPr>
      </w:pPr>
    </w:p>
    <w:p w14:paraId="44E9C080">
      <w:pPr>
        <w:pStyle w:val="4"/>
        <w:jc w:val="center"/>
        <w:rPr>
          <w:rFonts w:ascii="黑体" w:hAnsi="黑体" w:eastAsia="黑体"/>
          <w:sz w:val="36"/>
          <w:szCs w:val="36"/>
          <w:lang w:eastAsia="zh-CN"/>
        </w:rPr>
      </w:pPr>
    </w:p>
    <w:p w14:paraId="196FE46B">
      <w:pPr>
        <w:pStyle w:val="4"/>
        <w:jc w:val="center"/>
        <w:rPr>
          <w:rFonts w:ascii="黑体" w:hAnsi="黑体" w:eastAsia="黑体"/>
          <w:sz w:val="36"/>
          <w:szCs w:val="36"/>
          <w:lang w:eastAsia="zh-CN"/>
        </w:rPr>
      </w:pPr>
    </w:p>
    <w:p w14:paraId="23B961C5">
      <w:pPr>
        <w:pStyle w:val="4"/>
        <w:rPr>
          <w:rFonts w:ascii="黑体" w:hAnsi="黑体" w:eastAsia="黑体"/>
          <w:sz w:val="56"/>
          <w:szCs w:val="36"/>
          <w:lang w:eastAsia="zh-CN"/>
        </w:rPr>
      </w:pPr>
      <w:r>
        <w:rPr>
          <w:rFonts w:hint="eastAsia" w:ascii="黑体" w:hAnsi="黑体" w:eastAsia="黑体"/>
          <w:sz w:val="56"/>
          <w:szCs w:val="36"/>
          <w:lang w:eastAsia="zh-CN"/>
        </w:rPr>
        <w:t>第一部分</w:t>
      </w:r>
    </w:p>
    <w:p w14:paraId="39CDE0DE">
      <w:pPr>
        <w:pStyle w:val="4"/>
        <w:jc w:val="center"/>
        <w:rPr>
          <w:rFonts w:ascii="黑体" w:hAnsi="黑体" w:eastAsia="黑体"/>
          <w:sz w:val="56"/>
          <w:szCs w:val="36"/>
          <w:lang w:eastAsia="zh-CN"/>
        </w:rPr>
      </w:pPr>
      <w:r>
        <w:rPr>
          <w:rFonts w:hint="eastAsia" w:ascii="黑体" w:hAnsi="黑体" w:eastAsia="黑体"/>
          <w:sz w:val="56"/>
          <w:szCs w:val="36"/>
          <w:lang w:eastAsia="zh-CN"/>
        </w:rPr>
        <w:t>部门概况</w:t>
      </w:r>
    </w:p>
    <w:p w14:paraId="3DEE5CCC">
      <w:pPr>
        <w:pStyle w:val="4"/>
        <w:rPr>
          <w:rFonts w:ascii="黑体" w:hAnsi="黑体" w:eastAsia="黑体"/>
          <w:sz w:val="36"/>
          <w:szCs w:val="36"/>
          <w:lang w:eastAsia="zh-CN"/>
        </w:rPr>
      </w:pPr>
    </w:p>
    <w:p w14:paraId="7766A76E">
      <w:pPr>
        <w:pStyle w:val="4"/>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0599F09B">
      <w:pPr>
        <w:pStyle w:val="4"/>
        <w:rPr>
          <w:rFonts w:ascii="黑体" w:hAnsi="黑体" w:eastAsia="黑体" w:cstheme="minorBidi"/>
          <w:kern w:val="2"/>
          <w:sz w:val="32"/>
          <w:szCs w:val="32"/>
          <w:lang w:eastAsia="zh-CN"/>
        </w:rPr>
      </w:pPr>
      <w:r>
        <w:rPr>
          <w:rFonts w:hint="eastAsia" w:ascii="黑体" w:hAnsi="黑体" w:eastAsia="黑体" w:cstheme="minorBidi"/>
          <w:kern w:val="2"/>
          <w:sz w:val="32"/>
          <w:szCs w:val="32"/>
          <w:lang w:eastAsia="zh-CN"/>
        </w:rPr>
        <w:t>一、部门主要职责</w:t>
      </w:r>
    </w:p>
    <w:p w14:paraId="4FAA0B06">
      <w:pPr>
        <w:tabs>
          <w:tab w:val="left" w:pos="7513"/>
        </w:tabs>
        <w:adjustRightInd w:val="0"/>
        <w:snapToGrid w:val="0"/>
        <w:spacing w:line="600" w:lineRule="exact"/>
        <w:ind w:firstLine="640" w:firstLineChars="200"/>
        <w:rPr>
          <w:rFonts w:ascii="仿宋" w:hAnsi="仿宋" w:eastAsia="仿宋"/>
          <w:sz w:val="32"/>
          <w:szCs w:val="32"/>
        </w:rPr>
      </w:pPr>
      <w:r>
        <w:rPr>
          <w:rFonts w:hint="default" w:ascii="Times New Roman" w:hAnsi="Times New Roman" w:eastAsia="仿宋_GB2312" w:cs="Times New Roman"/>
          <w:color w:val="auto"/>
          <w:sz w:val="32"/>
          <w:szCs w:val="32"/>
          <w:lang w:val="en-US" w:eastAsia="zh-CN"/>
        </w:rPr>
        <w:t>双洋镇人民政府在市委、市政府和镇党委的坚强领导下，</w:t>
      </w:r>
      <w:r>
        <w:rPr>
          <w:rFonts w:hint="eastAsia" w:ascii="Times New Roman" w:hAnsi="Times New Roman" w:eastAsia="仿宋_GB2312" w:cs="Times New Roman"/>
          <w:color w:val="auto"/>
          <w:sz w:val="32"/>
          <w:szCs w:val="32"/>
          <w:lang w:val="en-US" w:eastAsia="zh-CN"/>
        </w:rPr>
        <w:t>坚持</w:t>
      </w:r>
      <w:r>
        <w:rPr>
          <w:rFonts w:hint="default" w:ascii="Times New Roman" w:hAnsi="Times New Roman" w:eastAsia="仿宋_GB2312" w:cs="Times New Roman"/>
          <w:sz w:val="32"/>
          <w:szCs w:val="32"/>
          <w:lang w:val="en-US" w:eastAsia="zh-CN"/>
        </w:rPr>
        <w:t>以习近平新时代中国特色社会主义思想为</w:t>
      </w:r>
      <w:r>
        <w:rPr>
          <w:rFonts w:hint="eastAsia" w:ascii="Times New Roman" w:hAnsi="Times New Roman" w:eastAsia="仿宋_GB2312" w:cs="Times New Roman"/>
          <w:sz w:val="32"/>
          <w:szCs w:val="32"/>
          <w:lang w:val="en-US" w:eastAsia="zh-CN"/>
        </w:rPr>
        <w:t>指导</w:t>
      </w:r>
      <w:r>
        <w:rPr>
          <w:rFonts w:hint="default" w:ascii="Times New Roman" w:hAnsi="Times New Roman" w:eastAsia="仿宋_GB2312" w:cs="Times New Roman"/>
          <w:sz w:val="32"/>
          <w:szCs w:val="32"/>
          <w:lang w:val="en-US" w:eastAsia="zh-CN"/>
        </w:rPr>
        <w:t>，深入贯彻党的二十大和二十届历次全会精神，</w:t>
      </w:r>
      <w:r>
        <w:rPr>
          <w:rFonts w:hint="default" w:ascii="Times New Roman" w:hAnsi="Times New Roman" w:eastAsia="仿宋_GB2312" w:cs="Times New Roman"/>
          <w:color w:val="auto"/>
          <w:sz w:val="32"/>
          <w:szCs w:val="32"/>
          <w:lang w:val="en-US" w:eastAsia="zh-CN"/>
        </w:rPr>
        <w:t>持续深化拓展“深学争优、敢为争先、实干争效”行动，统筹推进各项工作，全年交出亮眼答卷。</w:t>
      </w:r>
    </w:p>
    <w:p w14:paraId="6B179311">
      <w:pPr>
        <w:ind w:firstLine="640" w:firstLineChars="200"/>
        <w:rPr>
          <w:rFonts w:ascii="仿宋" w:hAnsi="仿宋" w:eastAsia="仿宋"/>
          <w:sz w:val="32"/>
          <w:szCs w:val="32"/>
        </w:rPr>
      </w:pPr>
    </w:p>
    <w:p w14:paraId="180AE0E3">
      <w:pPr>
        <w:pStyle w:val="4"/>
        <w:rPr>
          <w:rFonts w:ascii="黑体" w:hAnsi="黑体" w:eastAsia="黑体" w:cstheme="minorBidi"/>
          <w:kern w:val="2"/>
          <w:sz w:val="32"/>
          <w:szCs w:val="32"/>
          <w:lang w:eastAsia="zh-CN"/>
        </w:rPr>
      </w:pPr>
      <w:r>
        <w:rPr>
          <w:rFonts w:hint="eastAsia" w:ascii="黑体" w:hAnsi="黑体" w:eastAsia="黑体" w:cstheme="minorBidi"/>
          <w:kern w:val="2"/>
          <w:sz w:val="32"/>
          <w:szCs w:val="32"/>
          <w:lang w:eastAsia="zh-CN"/>
        </w:rPr>
        <w:t>二、部门预算单位构成</w:t>
      </w:r>
    </w:p>
    <w:p w14:paraId="7333526D">
      <w:pPr>
        <w:tabs>
          <w:tab w:val="left" w:pos="7513"/>
        </w:tabs>
        <w:adjustRightInd w:val="0"/>
        <w:snapToGrid w:val="0"/>
        <w:spacing w:line="600" w:lineRule="exact"/>
        <w:ind w:firstLine="640" w:firstLineChars="200"/>
        <w:rPr>
          <w:rFonts w:hint="eastAsia" w:ascii="仿宋" w:hAnsi="仿宋" w:eastAsia="仿宋"/>
          <w:sz w:val="32"/>
          <w:szCs w:val="32"/>
        </w:rPr>
      </w:pPr>
      <w:r>
        <w:rPr>
          <w:rFonts w:hint="eastAsia" w:ascii="仿宋" w:hAnsi="仿宋" w:eastAsia="仿宋" w:cs="仿宋_GB2312"/>
          <w:sz w:val="32"/>
          <w:szCs w:val="32"/>
        </w:rPr>
        <w:t>从预算单位构成看，双洋镇人民政府</w:t>
      </w:r>
      <w:r>
        <w:rPr>
          <w:rFonts w:hint="eastAsia" w:ascii="仿宋" w:hAnsi="仿宋" w:eastAsia="仿宋"/>
          <w:sz w:val="32"/>
          <w:szCs w:val="32"/>
        </w:rPr>
        <w:t>包括</w:t>
      </w:r>
      <w:r>
        <w:rPr>
          <w:rFonts w:hint="eastAsia" w:ascii="仿宋" w:hAnsi="仿宋" w:eastAsia="仿宋" w:cs="仿宋_GB2312"/>
          <w:sz w:val="32"/>
          <w:szCs w:val="32"/>
          <w:lang w:val="en-US" w:eastAsia="zh-CN"/>
        </w:rPr>
        <w:t>6</w:t>
      </w:r>
      <w:r>
        <w:rPr>
          <w:rFonts w:hint="eastAsia" w:ascii="仿宋" w:hAnsi="仿宋" w:eastAsia="仿宋"/>
          <w:sz w:val="32"/>
          <w:szCs w:val="32"/>
        </w:rPr>
        <w:t>个机关行政处（科）室及</w:t>
      </w:r>
      <w:r>
        <w:rPr>
          <w:rFonts w:hint="eastAsia" w:ascii="仿宋" w:hAnsi="仿宋" w:eastAsia="仿宋" w:cs="仿宋_GB2312"/>
          <w:sz w:val="32"/>
          <w:szCs w:val="32"/>
          <w:lang w:val="en-US" w:eastAsia="zh-CN"/>
        </w:rPr>
        <w:t>3</w:t>
      </w:r>
      <w:r>
        <w:rPr>
          <w:rFonts w:hint="eastAsia" w:ascii="仿宋" w:hAnsi="仿宋" w:eastAsia="仿宋"/>
          <w:sz w:val="32"/>
          <w:szCs w:val="32"/>
        </w:rPr>
        <w:t>个下属单位，其中：列入</w:t>
      </w:r>
      <w:r>
        <w:rPr>
          <w:rFonts w:hint="eastAsia" w:ascii="仿宋" w:hAnsi="仿宋" w:eastAsia="仿宋" w:cs="仿宋_GB2312"/>
          <w:sz w:val="32"/>
          <w:szCs w:val="32"/>
          <w:lang w:val="en-US" w:eastAsia="zh-CN"/>
        </w:rPr>
        <w:t>2026</w:t>
      </w:r>
      <w:r>
        <w:rPr>
          <w:rFonts w:hint="eastAsia" w:ascii="仿宋" w:hAnsi="仿宋" w:eastAsia="仿宋"/>
          <w:sz w:val="32"/>
          <w:szCs w:val="32"/>
        </w:rPr>
        <w:t>年部门预算编制范围的单位详细情况见下表:</w:t>
      </w:r>
    </w:p>
    <w:tbl>
      <w:tblPr>
        <w:tblStyle w:val="11"/>
        <w:tblW w:w="81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30"/>
        <w:gridCol w:w="2189"/>
        <w:gridCol w:w="2087"/>
      </w:tblGrid>
      <w:tr w14:paraId="4E526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830" w:type="dxa"/>
            <w:shd w:val="clear" w:color="auto" w:fill="auto"/>
          </w:tcPr>
          <w:p w14:paraId="7AD56B6C">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2189" w:type="dxa"/>
            <w:shd w:val="clear" w:color="auto" w:fill="auto"/>
          </w:tcPr>
          <w:p w14:paraId="36DF3C67">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2087" w:type="dxa"/>
            <w:shd w:val="clear" w:color="auto" w:fill="auto"/>
          </w:tcPr>
          <w:p w14:paraId="56C97058">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在职人数</w:t>
            </w:r>
          </w:p>
        </w:tc>
      </w:tr>
      <w:tr w14:paraId="56BEE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0" w:type="dxa"/>
            <w:shd w:val="clear" w:color="auto" w:fill="auto"/>
            <w:vAlign w:val="top"/>
          </w:tcPr>
          <w:p w14:paraId="45336779">
            <w:pPr>
              <w:tabs>
                <w:tab w:val="left" w:pos="7513"/>
              </w:tabs>
              <w:adjustRightInd w:val="0"/>
              <w:snapToGrid w:val="0"/>
              <w:spacing w:line="600" w:lineRule="exact"/>
              <w:rPr>
                <w:rFonts w:hint="default" w:ascii="仿宋" w:hAnsi="仿宋" w:eastAsia="仿宋" w:cstheme="minorBidi"/>
                <w:kern w:val="2"/>
                <w:sz w:val="32"/>
                <w:szCs w:val="32"/>
                <w:lang w:val="en-US" w:eastAsia="zh-CN" w:bidi="ar-SA"/>
              </w:rPr>
            </w:pPr>
            <w:r>
              <w:rPr>
                <w:rFonts w:hint="eastAsia" w:ascii="仿宋" w:hAnsi="仿宋" w:eastAsia="仿宋" w:cs="仿宋"/>
                <w:b w:val="0"/>
                <w:bCs w:val="0"/>
                <w:sz w:val="32"/>
                <w:szCs w:val="32"/>
                <w:lang w:eastAsia="zh-CN"/>
              </w:rPr>
              <w:t>双洋镇人民政府</w:t>
            </w:r>
            <w:r>
              <w:rPr>
                <w:rFonts w:hint="eastAsia" w:ascii="仿宋" w:hAnsi="仿宋" w:eastAsia="仿宋" w:cs="仿宋"/>
                <w:b w:val="0"/>
                <w:bCs w:val="0"/>
                <w:sz w:val="32"/>
                <w:szCs w:val="32"/>
                <w:lang w:val="en-US" w:eastAsia="zh-CN"/>
              </w:rPr>
              <w:t>行政机关</w:t>
            </w:r>
          </w:p>
        </w:tc>
        <w:tc>
          <w:tcPr>
            <w:tcW w:w="2189" w:type="dxa"/>
            <w:shd w:val="clear" w:color="auto" w:fill="auto"/>
            <w:vAlign w:val="top"/>
          </w:tcPr>
          <w:p w14:paraId="6399E766">
            <w:pPr>
              <w:tabs>
                <w:tab w:val="left" w:pos="7513"/>
              </w:tabs>
              <w:adjustRightInd w:val="0"/>
              <w:snapToGrid w:val="0"/>
              <w:spacing w:line="600" w:lineRule="exact"/>
              <w:jc w:val="center"/>
              <w:rPr>
                <w:rFonts w:ascii="仿宋" w:hAnsi="仿宋" w:eastAsia="仿宋" w:cstheme="minorBidi"/>
                <w:kern w:val="2"/>
                <w:sz w:val="32"/>
                <w:szCs w:val="32"/>
                <w:lang w:val="en-US" w:eastAsia="zh-CN" w:bidi="ar-SA"/>
              </w:rPr>
            </w:pPr>
            <w:r>
              <w:rPr>
                <w:rFonts w:hint="eastAsia" w:ascii="仿宋" w:hAnsi="仿宋" w:eastAsia="仿宋"/>
                <w:sz w:val="32"/>
                <w:szCs w:val="32"/>
                <w:lang w:eastAsia="zh-CN"/>
              </w:rPr>
              <w:t>财政拨款</w:t>
            </w:r>
          </w:p>
        </w:tc>
        <w:tc>
          <w:tcPr>
            <w:tcW w:w="2087" w:type="dxa"/>
            <w:shd w:val="clear" w:color="auto" w:fill="auto"/>
          </w:tcPr>
          <w:p w14:paraId="2989596C">
            <w:pPr>
              <w:tabs>
                <w:tab w:val="left" w:pos="7513"/>
              </w:tabs>
              <w:adjustRightInd w:val="0"/>
              <w:snapToGrid w:val="0"/>
              <w:spacing w:line="600" w:lineRule="exact"/>
              <w:jc w:val="center"/>
              <w:rPr>
                <w:rFonts w:hint="default" w:ascii="仿宋" w:hAnsi="仿宋" w:eastAsia="仿宋"/>
                <w:sz w:val="32"/>
                <w:szCs w:val="32"/>
                <w:lang w:val="en-US" w:eastAsia="zh-CN"/>
              </w:rPr>
            </w:pPr>
            <w:r>
              <w:rPr>
                <w:rFonts w:hint="eastAsia" w:ascii="仿宋" w:hAnsi="仿宋" w:eastAsia="仿宋"/>
                <w:sz w:val="32"/>
                <w:szCs w:val="32"/>
                <w:lang w:val="en-US" w:eastAsia="zh-CN"/>
              </w:rPr>
              <w:t>18</w:t>
            </w:r>
          </w:p>
        </w:tc>
      </w:tr>
      <w:tr w14:paraId="45829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0" w:type="dxa"/>
            <w:shd w:val="clear" w:color="auto" w:fill="auto"/>
            <w:vAlign w:val="top"/>
          </w:tcPr>
          <w:p w14:paraId="68C38E16">
            <w:pPr>
              <w:tabs>
                <w:tab w:val="left" w:pos="7513"/>
              </w:tabs>
              <w:adjustRightInd w:val="0"/>
              <w:snapToGrid w:val="0"/>
              <w:spacing w:line="600" w:lineRule="exact"/>
              <w:rPr>
                <w:rFonts w:ascii="仿宋" w:hAnsi="仿宋" w:eastAsia="仿宋" w:cstheme="minorBidi"/>
                <w:kern w:val="2"/>
                <w:sz w:val="32"/>
                <w:szCs w:val="32"/>
                <w:lang w:val="en-US" w:eastAsia="zh-CN" w:bidi="ar-SA"/>
              </w:rPr>
            </w:pPr>
            <w:r>
              <w:rPr>
                <w:rFonts w:hint="eastAsia" w:ascii="仿宋" w:hAnsi="仿宋" w:eastAsia="仿宋" w:cs="仿宋"/>
                <w:b w:val="0"/>
                <w:bCs w:val="0"/>
                <w:sz w:val="32"/>
                <w:szCs w:val="32"/>
                <w:lang w:eastAsia="zh-CN"/>
              </w:rPr>
              <w:t>双洋镇人民政府</w:t>
            </w:r>
            <w:r>
              <w:rPr>
                <w:rFonts w:hint="eastAsia" w:ascii="仿宋" w:hAnsi="仿宋" w:eastAsia="仿宋" w:cs="仿宋"/>
                <w:b w:val="0"/>
                <w:bCs w:val="0"/>
                <w:sz w:val="32"/>
                <w:szCs w:val="32"/>
                <w:lang w:val="en-US" w:eastAsia="zh-CN"/>
              </w:rPr>
              <w:t>事业</w:t>
            </w:r>
          </w:p>
        </w:tc>
        <w:tc>
          <w:tcPr>
            <w:tcW w:w="2189" w:type="dxa"/>
            <w:shd w:val="clear" w:color="auto" w:fill="auto"/>
            <w:vAlign w:val="top"/>
          </w:tcPr>
          <w:p w14:paraId="270DD45D">
            <w:pPr>
              <w:tabs>
                <w:tab w:val="left" w:pos="7513"/>
              </w:tabs>
              <w:adjustRightInd w:val="0"/>
              <w:snapToGrid w:val="0"/>
              <w:spacing w:line="600" w:lineRule="exact"/>
              <w:jc w:val="center"/>
              <w:rPr>
                <w:rFonts w:ascii="仿宋" w:hAnsi="仿宋" w:eastAsia="仿宋" w:cstheme="minorBidi"/>
                <w:kern w:val="2"/>
                <w:sz w:val="32"/>
                <w:szCs w:val="32"/>
                <w:lang w:val="en-US" w:eastAsia="zh-CN" w:bidi="ar-SA"/>
              </w:rPr>
            </w:pPr>
            <w:r>
              <w:rPr>
                <w:rFonts w:hint="eastAsia" w:ascii="仿宋" w:hAnsi="仿宋" w:eastAsia="仿宋"/>
                <w:sz w:val="32"/>
                <w:szCs w:val="32"/>
                <w:lang w:eastAsia="zh-CN"/>
              </w:rPr>
              <w:t>财政拨款</w:t>
            </w:r>
          </w:p>
        </w:tc>
        <w:tc>
          <w:tcPr>
            <w:tcW w:w="2087" w:type="dxa"/>
            <w:shd w:val="clear" w:color="auto" w:fill="auto"/>
          </w:tcPr>
          <w:p w14:paraId="2FFE3CA8">
            <w:pPr>
              <w:tabs>
                <w:tab w:val="left" w:pos="7513"/>
              </w:tabs>
              <w:adjustRightInd w:val="0"/>
              <w:snapToGrid w:val="0"/>
              <w:spacing w:line="600" w:lineRule="exact"/>
              <w:jc w:val="center"/>
              <w:rPr>
                <w:rFonts w:hint="default" w:ascii="仿宋" w:hAnsi="仿宋" w:eastAsia="仿宋"/>
                <w:sz w:val="32"/>
                <w:szCs w:val="32"/>
                <w:lang w:val="en-US" w:eastAsia="zh-CN"/>
              </w:rPr>
            </w:pPr>
            <w:r>
              <w:rPr>
                <w:rFonts w:hint="eastAsia" w:ascii="仿宋" w:hAnsi="仿宋" w:eastAsia="仿宋"/>
                <w:sz w:val="32"/>
                <w:szCs w:val="32"/>
                <w:lang w:val="en-US" w:eastAsia="zh-CN"/>
              </w:rPr>
              <w:t>31</w:t>
            </w:r>
          </w:p>
        </w:tc>
      </w:tr>
    </w:tbl>
    <w:p w14:paraId="41419E9D">
      <w:pPr>
        <w:tabs>
          <w:tab w:val="left" w:pos="7513"/>
        </w:tabs>
        <w:adjustRightInd w:val="0"/>
        <w:snapToGrid w:val="0"/>
        <w:spacing w:line="600" w:lineRule="exact"/>
        <w:rPr>
          <w:rFonts w:cs="Times New Roman" w:asciiTheme="majorEastAsia" w:hAnsiTheme="majorEastAsia" w:eastAsiaTheme="majorEastAsia"/>
          <w:kern w:val="0"/>
          <w:sz w:val="36"/>
          <w:szCs w:val="20"/>
        </w:rPr>
      </w:pPr>
    </w:p>
    <w:p w14:paraId="4C3915BC">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三、部门主要工作任务</w:t>
      </w:r>
    </w:p>
    <w:p w14:paraId="7F348A6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宋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一、2025年工作回顾——聚焦高质量发展，成效显著</w:t>
      </w:r>
    </w:p>
    <w:p w14:paraId="0C2A8F1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宋体" w:cs="Times New Roman"/>
          <w:color w:val="auto"/>
          <w:sz w:val="32"/>
          <w:szCs w:val="32"/>
          <w:lang w:val="en-US" w:eastAsia="zh-CN"/>
        </w:rPr>
      </w:pPr>
      <w:r>
        <w:rPr>
          <w:rFonts w:hint="default" w:ascii="Times New Roman" w:hAnsi="Times New Roman" w:eastAsia="宋体" w:cs="Times New Roman"/>
          <w:color w:val="auto"/>
          <w:sz w:val="32"/>
          <w:szCs w:val="32"/>
          <w:lang w:val="en-US" w:eastAsia="zh-CN"/>
        </w:rPr>
        <w:t>（一）聚力产业提质与项目攻坚，经济运行稳中向好</w:t>
      </w:r>
    </w:p>
    <w:p w14:paraId="034EA9C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始终把项目建设和产业发展作为“第一要务”，以有效投资拉动增长，以特色产业夯实发展根基。</w:t>
      </w:r>
    </w:p>
    <w:p w14:paraId="48BEE86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仿宋_GB2312" w:cs="Times New Roman"/>
          <w:color w:val="auto"/>
          <w:sz w:val="32"/>
          <w:szCs w:val="32"/>
          <w:highlight w:val="yellow"/>
          <w:lang w:val="en-US" w:eastAsia="zh-CN"/>
        </w:rPr>
      </w:pPr>
      <w:r>
        <w:rPr>
          <w:rFonts w:hint="default" w:ascii="Times New Roman" w:hAnsi="Times New Roman" w:eastAsia="楷体_GB2312" w:cs="Times New Roman"/>
          <w:bCs/>
          <w:color w:val="auto"/>
          <w:sz w:val="32"/>
          <w:szCs w:val="32"/>
          <w:lang w:val="en-US" w:eastAsia="zh-CN"/>
        </w:rPr>
        <w:t>1.经济指标稳中有进。</w:t>
      </w:r>
      <w:r>
        <w:rPr>
          <w:rFonts w:hint="default" w:ascii="Times New Roman" w:hAnsi="Times New Roman" w:eastAsia="仿宋_GB2312" w:cs="Times New Roman"/>
          <w:color w:val="auto"/>
          <w:sz w:val="32"/>
          <w:szCs w:val="32"/>
          <w:lang w:val="en-US" w:eastAsia="zh-CN"/>
        </w:rPr>
        <w:t>全年预计完成规上工业总产值4.56亿元；限上商贸业营业额17.7亿元；规模以上服务业营收1.57亿元；500万元以上固定资产投资</w:t>
      </w:r>
      <w:r>
        <w:rPr>
          <w:rFonts w:hint="default" w:ascii="Times New Roman" w:hAnsi="Times New Roman" w:eastAsia="仿宋_GB2312" w:cs="Times New Roman"/>
          <w:kern w:val="0"/>
          <w:sz w:val="32"/>
          <w:szCs w:val="32"/>
          <w:lang w:val="en-US" w:eastAsia="zh-CN"/>
        </w:rPr>
        <w:t>11.38亿</w:t>
      </w:r>
      <w:r>
        <w:rPr>
          <w:rFonts w:hint="default" w:ascii="Times New Roman" w:hAnsi="Times New Roman" w:eastAsia="仿宋_GB2312" w:cs="Times New Roman"/>
          <w:kern w:val="0"/>
          <w:sz w:val="32"/>
          <w:szCs w:val="32"/>
        </w:rPr>
        <w:t>元</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楷体_GB2312" w:cs="Times New Roman"/>
          <w:bCs/>
          <w:color w:val="auto"/>
          <w:sz w:val="32"/>
          <w:szCs w:val="32"/>
          <w:lang w:val="en-US" w:eastAsia="zh-CN"/>
        </w:rPr>
        <w:t>含漳平</w:t>
      </w:r>
      <w:r>
        <w:rPr>
          <w:rFonts w:hint="eastAsia" w:ascii="Times New Roman" w:hAnsi="Times New Roman" w:eastAsia="楷体_GB2312" w:cs="Times New Roman"/>
          <w:bCs/>
          <w:color w:val="auto"/>
          <w:sz w:val="32"/>
          <w:szCs w:val="32"/>
          <w:lang w:val="en-US" w:eastAsia="zh-CN"/>
        </w:rPr>
        <w:t>市</w:t>
      </w:r>
      <w:r>
        <w:rPr>
          <w:rFonts w:hint="default" w:ascii="Times New Roman" w:hAnsi="Times New Roman" w:eastAsia="楷体_GB2312" w:cs="Times New Roman"/>
          <w:bCs/>
          <w:color w:val="auto"/>
          <w:sz w:val="32"/>
          <w:szCs w:val="32"/>
          <w:lang w:val="en-US" w:eastAsia="zh-CN"/>
        </w:rPr>
        <w:t>抽水蓄能</w:t>
      </w:r>
      <w:r>
        <w:rPr>
          <w:rFonts w:hint="eastAsia" w:ascii="Times New Roman" w:hAnsi="Times New Roman" w:eastAsia="楷体_GB2312" w:cs="Times New Roman"/>
          <w:bCs/>
          <w:color w:val="auto"/>
          <w:sz w:val="32"/>
          <w:szCs w:val="32"/>
          <w:lang w:val="en-US" w:eastAsia="zh-CN"/>
        </w:rPr>
        <w:t>电站</w:t>
      </w:r>
      <w:r>
        <w:rPr>
          <w:rFonts w:hint="default" w:ascii="Times New Roman" w:hAnsi="Times New Roman" w:eastAsia="楷体_GB2312" w:cs="Times New Roman"/>
          <w:bCs/>
          <w:color w:val="auto"/>
          <w:sz w:val="32"/>
          <w:szCs w:val="32"/>
          <w:lang w:val="en-US" w:eastAsia="zh-CN"/>
        </w:rPr>
        <w:t>项目5.47亿元</w:t>
      </w:r>
      <w:r>
        <w:rPr>
          <w:rFonts w:hint="default" w:ascii="Times New Roman" w:hAnsi="Times New Roman" w:eastAsia="仿宋_GB2312" w:cs="Times New Roman"/>
          <w:color w:val="auto"/>
          <w:sz w:val="32"/>
          <w:szCs w:val="32"/>
          <w:lang w:val="en-US" w:eastAsia="zh-CN"/>
        </w:rPr>
        <w:t>），新增入库项目12个（</w:t>
      </w:r>
      <w:r>
        <w:rPr>
          <w:rFonts w:hint="default" w:ascii="Times New Roman" w:hAnsi="Times New Roman" w:eastAsia="楷体_GB2312" w:cs="Times New Roman"/>
          <w:bCs/>
          <w:color w:val="auto"/>
          <w:sz w:val="32"/>
          <w:szCs w:val="32"/>
          <w:lang w:val="en-US" w:eastAsia="zh-CN"/>
        </w:rPr>
        <w:t>其中5000万以上固定资产投资项目2个</w:t>
      </w:r>
      <w:r>
        <w:rPr>
          <w:rFonts w:hint="default" w:ascii="Times New Roman" w:hAnsi="Times New Roman" w:eastAsia="仿宋_GB2312" w:cs="Times New Roman"/>
          <w:color w:val="auto"/>
          <w:sz w:val="32"/>
          <w:szCs w:val="32"/>
          <w:lang w:val="en-US" w:eastAsia="zh-CN"/>
        </w:rPr>
        <w:t>）。</w:t>
      </w:r>
    </w:p>
    <w:p w14:paraId="6A89858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bCs/>
          <w:color w:val="auto"/>
          <w:sz w:val="32"/>
          <w:szCs w:val="32"/>
          <w:lang w:val="en-US" w:eastAsia="zh-CN"/>
        </w:rPr>
        <w:t>2.招商引资成果丰硕。</w:t>
      </w:r>
      <w:r>
        <w:rPr>
          <w:rFonts w:hint="default" w:ascii="Times New Roman" w:hAnsi="Times New Roman" w:eastAsia="仿宋_GB2312" w:cs="Times New Roman"/>
          <w:color w:val="auto"/>
          <w:sz w:val="32"/>
          <w:szCs w:val="32"/>
          <w:lang w:val="en-US" w:eastAsia="zh-CN"/>
        </w:rPr>
        <w:t>持续深化“筑巢引凤”机制，镇招商工作小组全年外出招商3次，成功接洽客商10家，签约落地漳平礼溪生态茶园、展德堂茶旅融合振兴、拓尚达技术服务中心</w:t>
      </w:r>
      <w:r>
        <w:rPr>
          <w:rFonts w:hint="eastAsia" w:ascii="Times New Roman" w:hAnsi="Times New Roman" w:eastAsia="仿宋_GB2312" w:cs="Times New Roman"/>
          <w:color w:val="auto"/>
          <w:sz w:val="32"/>
          <w:szCs w:val="32"/>
          <w:lang w:val="en-US" w:eastAsia="zh-CN"/>
        </w:rPr>
        <w:t>及</w:t>
      </w:r>
      <w:r>
        <w:rPr>
          <w:rFonts w:hint="default" w:ascii="Times New Roman" w:hAnsi="Times New Roman" w:eastAsia="仿宋_GB2312" w:cs="Times New Roman"/>
          <w:color w:val="auto"/>
          <w:sz w:val="32"/>
          <w:szCs w:val="32"/>
          <w:lang w:val="en-US" w:eastAsia="zh-CN"/>
        </w:rPr>
        <w:t>和鼎海工承压木生产4个优质项目，构建起 “洽谈—签约—建设—投产” 的良性发展循环。</w:t>
      </w:r>
    </w:p>
    <w:p w14:paraId="5CD9CCE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 w:cs="Times New Roman"/>
          <w:color w:val="auto"/>
          <w:sz w:val="32"/>
          <w:szCs w:val="32"/>
          <w:lang w:val="en-US" w:eastAsia="zh-CN"/>
        </w:rPr>
        <w:t>3.重点项目攻坚有力。</w:t>
      </w:r>
      <w:r>
        <w:rPr>
          <w:rFonts w:hint="default" w:ascii="Times New Roman" w:hAnsi="Times New Roman" w:eastAsia="仿宋_GB2312" w:cs="Times New Roman"/>
          <w:color w:val="000000" w:themeColor="text1"/>
          <w:sz w:val="32"/>
          <w:szCs w:val="32"/>
          <w:lang w:val="en-US" w:eastAsia="zh-CN"/>
        </w:rPr>
        <w:t>漳平抽水蓄能电站项目提前完成84户41栋房屋征收签约工作，中村红线内2287.3亩土地分户测量及公示全面完成，保通道路顺利竣工；抽蓄项目先行用地资金发放率达91.3%，累计发放金额3700余万元</w:t>
      </w:r>
      <w:r>
        <w:rPr>
          <w:rFonts w:hint="eastAsia" w:ascii="Times New Roman" w:hAnsi="Times New Roman" w:eastAsia="仿宋_GB2312" w:cs="Times New Roman"/>
          <w:color w:val="000000" w:themeColor="text1"/>
          <w:sz w:val="32"/>
          <w:szCs w:val="32"/>
          <w:lang w:val="en-US" w:eastAsia="zh-CN"/>
        </w:rPr>
        <w:t>，</w:t>
      </w:r>
      <w:r>
        <w:rPr>
          <w:rFonts w:hint="default" w:ascii="Times New Roman" w:hAnsi="Times New Roman" w:eastAsia="仿宋_GB2312" w:cs="Times New Roman"/>
          <w:color w:val="000000" w:themeColor="text1"/>
          <w:sz w:val="32"/>
          <w:szCs w:val="32"/>
          <w:lang w:val="en-US" w:eastAsia="zh-CN"/>
        </w:rPr>
        <w:t>坟墓迁移、新村建设、林木清表等工作有序推进。员当-赤洋浦段、西洋-溪口段小流域治理项目成功争取中央预算内投资2600万元，已完成投资2000余万元，占合同造价77%；漳平市九鹏溪幸福河湖建设项目总投资1800余万元，生态堰坝改造、岸线植被恢复已全部完成，目前正在进行水系渠道改造，预计5月前全部完工。争取移民资金250万元，完成大瑶移民文化中心建设项目和大瑶村道路修复工程；争取乡村振兴资金50万元，完成城外村部二楼提升改造项目。双洋镇城内村护岸水毁修复工程获补助资金20万元，已完工。</w:t>
      </w:r>
    </w:p>
    <w:p w14:paraId="49F274F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宋体" w:cs="Times New Roman"/>
          <w:color w:val="auto"/>
          <w:sz w:val="32"/>
          <w:szCs w:val="32"/>
          <w:lang w:val="en-US" w:eastAsia="zh-CN"/>
        </w:rPr>
      </w:pPr>
      <w:r>
        <w:rPr>
          <w:rFonts w:hint="default" w:ascii="Times New Roman" w:hAnsi="Times New Roman" w:eastAsia="宋体" w:cs="Times New Roman"/>
          <w:color w:val="auto"/>
          <w:sz w:val="32"/>
          <w:szCs w:val="32"/>
          <w:lang w:val="en-US" w:eastAsia="zh-CN"/>
        </w:rPr>
        <w:t>（二）深耕乡村振兴与特色发展，城乡面貌持续焕新</w:t>
      </w:r>
    </w:p>
    <w:p w14:paraId="7522F8A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lang w:val="en-US" w:eastAsia="zh-CN"/>
        </w:rPr>
        <w:t>紧扣“产业兴旺、生态宜居、乡风文明、治理有效、生活富裕”总要求，推动乡村振兴走深走实</w:t>
      </w:r>
      <w:r>
        <w:rPr>
          <w:rFonts w:hint="default" w:ascii="Times New Roman" w:hAnsi="Times New Roman" w:eastAsia="仿宋_GB2312" w:cs="Times New Roman"/>
          <w:color w:val="auto"/>
          <w:sz w:val="32"/>
          <w:szCs w:val="32"/>
          <w:highlight w:val="none"/>
          <w:shd w:val="clear"/>
          <w:lang w:val="en-US" w:eastAsia="zh-CN"/>
        </w:rPr>
        <w:t>，城乡发展呈现全新气象。</w:t>
      </w:r>
    </w:p>
    <w:p w14:paraId="23391BC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2"/>
          <w:sz w:val="32"/>
          <w:szCs w:val="32"/>
          <w:lang w:val="en-US" w:eastAsia="zh-CN" w:bidi="ar-SA"/>
        </w:rPr>
        <w:t>1.</w:t>
      </w:r>
      <w:r>
        <w:rPr>
          <w:rFonts w:hint="default" w:ascii="Times New Roman" w:hAnsi="Times New Roman" w:eastAsia="楷体_GB2312" w:cs="Times New Roman"/>
          <w:bCs/>
          <w:color w:val="auto"/>
          <w:sz w:val="32"/>
          <w:szCs w:val="32"/>
          <w:lang w:val="en-US" w:eastAsia="zh-CN"/>
        </w:rPr>
        <w:t>产业振兴强基固本。</w:t>
      </w:r>
      <w:r>
        <w:rPr>
          <w:rFonts w:hint="default" w:ascii="Times New Roman" w:hAnsi="Times New Roman" w:eastAsia="仿宋_GB2312" w:cs="Times New Roman"/>
          <w:color w:val="auto"/>
          <w:sz w:val="32"/>
          <w:szCs w:val="32"/>
          <w:highlight w:val="none"/>
          <w:lang w:val="en-US" w:eastAsia="zh-CN"/>
        </w:rPr>
        <w:t>助推村级“一事一议”财政奖补工作开展，2025年获补助资金30万元</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lang w:val="en-US" w:eastAsia="zh-CN"/>
        </w:rPr>
        <w:t>8个村集体经济收入达20万元以上，其中3个村集体经济收入突破60万元；立足“一村一品”</w:t>
      </w:r>
      <w:r>
        <w:rPr>
          <w:rFonts w:hint="default" w:ascii="Times New Roman" w:hAnsi="Times New Roman" w:eastAsia="仿宋_GB2312" w:cs="Times New Roman"/>
          <w:color w:val="auto"/>
          <w:sz w:val="32"/>
          <w:szCs w:val="32"/>
          <w:highlight w:val="none"/>
          <w:shd w:val="clear"/>
          <w:lang w:val="en-US" w:eastAsia="zh-CN"/>
        </w:rPr>
        <w:t>发展</w:t>
      </w:r>
      <w:r>
        <w:rPr>
          <w:rFonts w:hint="default" w:ascii="Times New Roman" w:hAnsi="Times New Roman" w:eastAsia="仿宋_GB2312" w:cs="Times New Roman"/>
          <w:color w:val="auto"/>
          <w:sz w:val="32"/>
          <w:szCs w:val="32"/>
          <w:lang w:val="en-US" w:eastAsia="zh-CN"/>
        </w:rPr>
        <w:t>布局，水仙茶种植面积达7000余亩，</w:t>
      </w:r>
      <w:r>
        <w:rPr>
          <w:rFonts w:hint="default" w:ascii="Times New Roman" w:hAnsi="Times New Roman" w:eastAsia="仿宋_GB2312" w:cs="Times New Roman"/>
          <w:color w:val="auto"/>
          <w:sz w:val="32"/>
          <w:szCs w:val="32"/>
          <w:highlight w:val="none"/>
          <w:lang w:val="en-US" w:eastAsia="zh-CN"/>
        </w:rPr>
        <w:t>年</w:t>
      </w:r>
      <w:r>
        <w:rPr>
          <w:rFonts w:hint="default" w:ascii="Times New Roman" w:hAnsi="Times New Roman" w:eastAsia="仿宋_GB2312" w:cs="Times New Roman"/>
          <w:color w:val="auto"/>
          <w:sz w:val="32"/>
          <w:szCs w:val="32"/>
          <w:lang w:val="en-US" w:eastAsia="zh-CN"/>
        </w:rPr>
        <w:t>产量1200吨，产值</w:t>
      </w:r>
      <w:r>
        <w:rPr>
          <w:rFonts w:hint="default" w:ascii="Times New Roman" w:hAnsi="Times New Roman" w:eastAsia="仿宋_GB2312" w:cs="Times New Roman"/>
          <w:color w:val="auto"/>
          <w:sz w:val="32"/>
          <w:szCs w:val="32"/>
          <w:highlight w:val="none"/>
          <w:lang w:val="en-US" w:eastAsia="zh-CN"/>
        </w:rPr>
        <w:t>成功</w:t>
      </w:r>
      <w:r>
        <w:rPr>
          <w:rFonts w:hint="default" w:ascii="Times New Roman" w:hAnsi="Times New Roman" w:eastAsia="仿宋_GB2312" w:cs="Times New Roman"/>
          <w:color w:val="auto"/>
          <w:sz w:val="32"/>
          <w:szCs w:val="32"/>
          <w:lang w:val="en-US" w:eastAsia="zh-CN"/>
        </w:rPr>
        <w:t>突破2亿元；</w:t>
      </w:r>
      <w:r>
        <w:rPr>
          <w:rFonts w:hint="default" w:ascii="Times New Roman" w:hAnsi="Times New Roman" w:eastAsia="仿宋_GB2312" w:cs="Times New Roman"/>
          <w:color w:val="auto"/>
          <w:sz w:val="32"/>
          <w:szCs w:val="32"/>
          <w:highlight w:val="none"/>
          <w:lang w:val="en-US" w:eastAsia="zh-CN"/>
        </w:rPr>
        <w:t>积极</w:t>
      </w:r>
      <w:r>
        <w:rPr>
          <w:rFonts w:hint="default" w:ascii="Times New Roman" w:hAnsi="Times New Roman" w:eastAsia="仿宋_GB2312" w:cs="Times New Roman"/>
          <w:color w:val="auto"/>
          <w:sz w:val="32"/>
          <w:szCs w:val="32"/>
          <w:lang w:val="en-US" w:eastAsia="zh-CN"/>
        </w:rPr>
        <w:t>争取中央、省级衔接推进乡村振兴补助资金48万元，带动74户215名脱贫群众发展茶、烟、竹产业；</w:t>
      </w:r>
      <w:r>
        <w:rPr>
          <w:rFonts w:hint="default" w:ascii="Times New Roman" w:hAnsi="Times New Roman" w:eastAsia="仿宋_GB2312" w:cs="Times New Roman"/>
          <w:color w:val="auto"/>
          <w:sz w:val="32"/>
          <w:szCs w:val="32"/>
          <w:highlight w:val="none"/>
          <w:lang w:val="en-US" w:eastAsia="zh-CN"/>
        </w:rPr>
        <w:t>加大支农力度，落实种粮农户综合补助工作，发放补助资金106.</w:t>
      </w:r>
      <w:r>
        <w:rPr>
          <w:rFonts w:hint="eastAsia" w:ascii="Times New Roman" w:hAnsi="Times New Roman" w:eastAsia="仿宋_GB2312" w:cs="Times New Roman"/>
          <w:color w:val="auto"/>
          <w:sz w:val="32"/>
          <w:szCs w:val="32"/>
          <w:highlight w:val="none"/>
          <w:lang w:val="en-US" w:eastAsia="zh-CN"/>
        </w:rPr>
        <w:t>7</w:t>
      </w:r>
      <w:r>
        <w:rPr>
          <w:rFonts w:hint="default" w:ascii="Times New Roman" w:hAnsi="Times New Roman" w:eastAsia="仿宋_GB2312" w:cs="Times New Roman"/>
          <w:color w:val="auto"/>
          <w:sz w:val="32"/>
          <w:szCs w:val="32"/>
          <w:highlight w:val="none"/>
          <w:lang w:val="en-US" w:eastAsia="zh-CN"/>
        </w:rPr>
        <w:t>万元，受益农户2475户</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lang w:val="en-US" w:eastAsia="zh-CN"/>
        </w:rPr>
        <w:t>烤烟</w:t>
      </w:r>
      <w:r>
        <w:rPr>
          <w:rFonts w:hint="default" w:ascii="Times New Roman" w:hAnsi="Times New Roman" w:eastAsia="仿宋_GB2312" w:cs="Times New Roman"/>
          <w:color w:val="auto"/>
          <w:sz w:val="32"/>
          <w:szCs w:val="32"/>
          <w:highlight w:val="none"/>
          <w:lang w:val="en-US" w:eastAsia="zh-CN"/>
        </w:rPr>
        <w:t>种植面积稳定在</w:t>
      </w:r>
      <w:r>
        <w:rPr>
          <w:rFonts w:hint="default" w:ascii="Times New Roman" w:hAnsi="Times New Roman" w:eastAsia="仿宋_GB2312" w:cs="Times New Roman"/>
          <w:color w:val="auto"/>
          <w:sz w:val="32"/>
          <w:szCs w:val="32"/>
          <w:lang w:val="en-US" w:eastAsia="zh-CN"/>
        </w:rPr>
        <w:t>5000余亩，粮食播种面积13442亩，</w:t>
      </w:r>
      <w:r>
        <w:rPr>
          <w:rFonts w:hint="default" w:ascii="Times New Roman" w:hAnsi="Times New Roman" w:eastAsia="仿宋_GB2312" w:cs="Times New Roman"/>
          <w:color w:val="auto"/>
          <w:sz w:val="32"/>
          <w:szCs w:val="32"/>
          <w:highlight w:val="none"/>
          <w:lang w:val="en-US" w:eastAsia="zh-CN"/>
        </w:rPr>
        <w:t>完成</w:t>
      </w:r>
      <w:r>
        <w:rPr>
          <w:rFonts w:hint="default" w:ascii="Times New Roman" w:hAnsi="Times New Roman" w:eastAsia="仿宋_GB2312" w:cs="Times New Roman"/>
          <w:color w:val="auto"/>
          <w:sz w:val="32"/>
          <w:szCs w:val="32"/>
          <w:lang w:val="en-US" w:eastAsia="zh-CN"/>
        </w:rPr>
        <w:t>抛荒复垦630亩，建成员当村省级优质稻示范片500亩</w:t>
      </w:r>
      <w:r>
        <w:rPr>
          <w:rFonts w:hint="default" w:ascii="Times New Roman" w:hAnsi="Times New Roman" w:eastAsia="仿宋_GB2312" w:cs="Times New Roman"/>
          <w:color w:val="auto"/>
          <w:sz w:val="32"/>
          <w:szCs w:val="32"/>
          <w:highlight w:val="none"/>
          <w:lang w:val="en-US" w:eastAsia="zh-CN"/>
        </w:rPr>
        <w:t>，牢牢守住粮食安全底线。</w:t>
      </w:r>
    </w:p>
    <w:p w14:paraId="45F3E26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kern w:val="2"/>
          <w:sz w:val="32"/>
          <w:szCs w:val="32"/>
          <w:lang w:val="en-US" w:eastAsia="zh-CN" w:bidi="ar-SA"/>
        </w:rPr>
        <w:t>2.</w:t>
      </w:r>
      <w:r>
        <w:rPr>
          <w:rFonts w:hint="default" w:ascii="Times New Roman" w:hAnsi="Times New Roman" w:eastAsia="楷体_GB2312" w:cs="Times New Roman"/>
          <w:bCs/>
          <w:color w:val="auto"/>
          <w:sz w:val="32"/>
          <w:szCs w:val="32"/>
          <w:lang w:val="en-US" w:eastAsia="zh-CN"/>
        </w:rPr>
        <w:t>生态宜居提档升级。</w:t>
      </w:r>
      <w:r>
        <w:rPr>
          <w:rFonts w:hint="default" w:ascii="Times New Roman" w:hAnsi="Times New Roman" w:eastAsia="仿宋_GB2312" w:cs="Times New Roman"/>
          <w:color w:val="auto"/>
          <w:sz w:val="32"/>
          <w:szCs w:val="32"/>
          <w:highlight w:val="none"/>
          <w:lang w:val="en-US" w:eastAsia="zh-CN"/>
        </w:rPr>
        <w:t>精心</w:t>
      </w:r>
      <w:r>
        <w:rPr>
          <w:rFonts w:hint="default" w:ascii="Times New Roman" w:hAnsi="Times New Roman" w:eastAsia="仿宋_GB2312" w:cs="Times New Roman"/>
          <w:color w:val="auto"/>
          <w:sz w:val="32"/>
          <w:szCs w:val="32"/>
          <w:lang w:val="en-US" w:eastAsia="zh-CN"/>
        </w:rPr>
        <w:t>打造美丽庭院40户、美丽乡村微景观20处、公共空间5处，东洋村获评第七届“全国文明村”；严格落实河长制，全镇各级</w:t>
      </w:r>
      <w:r>
        <w:rPr>
          <w:rFonts w:hint="default" w:ascii="Times New Roman" w:hAnsi="Times New Roman" w:eastAsia="仿宋_GB2312" w:cs="Times New Roman"/>
          <w:color w:val="auto"/>
          <w:sz w:val="32"/>
          <w:szCs w:val="32"/>
          <w:highlight w:val="none"/>
          <w:lang w:val="en-US" w:eastAsia="zh-CN"/>
        </w:rPr>
        <w:t>累计开展</w:t>
      </w:r>
      <w:r>
        <w:rPr>
          <w:rFonts w:hint="default" w:ascii="Times New Roman" w:hAnsi="Times New Roman" w:eastAsia="仿宋_GB2312" w:cs="Times New Roman"/>
          <w:color w:val="auto"/>
          <w:sz w:val="32"/>
          <w:szCs w:val="32"/>
          <w:lang w:val="en-US" w:eastAsia="zh-CN"/>
        </w:rPr>
        <w:t>巡河3457次，省控东洋村断面及青云桥等小流域水质稳定达Ⅱ类；环保网格全年上报事件1680件，畜禽养殖污染整治、饮用水源保护</w:t>
      </w:r>
      <w:r>
        <w:rPr>
          <w:rFonts w:hint="default" w:ascii="Times New Roman" w:hAnsi="Times New Roman" w:eastAsia="仿宋_GB2312" w:cs="Times New Roman"/>
          <w:color w:val="auto"/>
          <w:sz w:val="32"/>
          <w:szCs w:val="32"/>
          <w:highlight w:val="none"/>
          <w:lang w:val="en-US" w:eastAsia="zh-CN"/>
        </w:rPr>
        <w:t>等工作成效显著，生态环境持续优化。</w:t>
      </w:r>
    </w:p>
    <w:p w14:paraId="0E330B0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2"/>
          <w:sz w:val="32"/>
          <w:szCs w:val="32"/>
          <w:lang w:val="en-US" w:eastAsia="zh-CN" w:bidi="ar-SA"/>
        </w:rPr>
        <w:t>3.</w:t>
      </w:r>
      <w:r>
        <w:rPr>
          <w:rFonts w:hint="default" w:ascii="Times New Roman" w:hAnsi="Times New Roman" w:eastAsia="楷体_GB2312" w:cs="Times New Roman"/>
          <w:bCs/>
          <w:color w:val="auto"/>
          <w:sz w:val="32"/>
          <w:szCs w:val="32"/>
          <w:lang w:val="en-US" w:eastAsia="zh-CN"/>
        </w:rPr>
        <w:t>文化振兴铸魂赋能。</w:t>
      </w:r>
      <w:r>
        <w:rPr>
          <w:rFonts w:hint="default" w:ascii="Times New Roman" w:hAnsi="Times New Roman" w:eastAsia="仿宋_GB2312" w:cs="Times New Roman"/>
          <w:color w:val="auto"/>
          <w:sz w:val="32"/>
          <w:szCs w:val="32"/>
          <w:highlight w:val="none"/>
          <w:lang w:val="en-US" w:eastAsia="zh-CN"/>
        </w:rPr>
        <w:t>高标准</w:t>
      </w:r>
      <w:r>
        <w:rPr>
          <w:rFonts w:hint="default" w:ascii="Times New Roman" w:hAnsi="Times New Roman" w:eastAsia="仿宋_GB2312" w:cs="Times New Roman"/>
          <w:color w:val="auto"/>
          <w:sz w:val="32"/>
          <w:szCs w:val="32"/>
          <w:lang w:val="en-US" w:eastAsia="zh-CN"/>
        </w:rPr>
        <w:t>打造城内村、东洋村非遗乡村文化会客厅</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highlight w:val="none"/>
          <w:lang w:val="en-US" w:eastAsia="zh-CN"/>
        </w:rPr>
        <w:t>全力</w:t>
      </w:r>
      <w:r>
        <w:rPr>
          <w:rFonts w:hint="default" w:ascii="Times New Roman" w:hAnsi="Times New Roman" w:eastAsia="仿宋_GB2312" w:cs="Times New Roman"/>
          <w:color w:val="auto"/>
          <w:sz w:val="32"/>
          <w:szCs w:val="32"/>
          <w:lang w:val="en-US" w:eastAsia="zh-CN"/>
        </w:rPr>
        <w:t>保护传承汉剧、舞炮龙等</w:t>
      </w:r>
      <w:r>
        <w:rPr>
          <w:rFonts w:hint="default" w:ascii="Times New Roman" w:hAnsi="Times New Roman" w:eastAsia="仿宋_GB2312" w:cs="Times New Roman"/>
          <w:color w:val="auto"/>
          <w:sz w:val="32"/>
          <w:szCs w:val="32"/>
          <w:highlight w:val="none"/>
          <w:lang w:val="en-US" w:eastAsia="zh-CN"/>
        </w:rPr>
        <w:t>非物质文化遗产</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highlight w:val="none"/>
          <w:lang w:val="en-US" w:eastAsia="zh-CN"/>
        </w:rPr>
        <w:t>组织</w:t>
      </w:r>
      <w:r>
        <w:rPr>
          <w:rFonts w:hint="default" w:ascii="Times New Roman" w:hAnsi="Times New Roman" w:eastAsia="仿宋_GB2312" w:cs="Times New Roman"/>
          <w:color w:val="auto"/>
          <w:sz w:val="32"/>
          <w:szCs w:val="32"/>
          <w:lang w:val="en-US" w:eastAsia="zh-CN"/>
        </w:rPr>
        <w:t>汉剧团赴永安</w:t>
      </w:r>
      <w:r>
        <w:rPr>
          <w:rFonts w:hint="default" w:ascii="Times New Roman" w:hAnsi="Times New Roman" w:eastAsia="仿宋_GB2312" w:cs="Times New Roman"/>
          <w:color w:val="auto"/>
          <w:sz w:val="32"/>
          <w:szCs w:val="32"/>
          <w:highlight w:val="none"/>
          <w:lang w:val="en-US" w:eastAsia="zh-CN"/>
        </w:rPr>
        <w:t>开展交流展演活动；成功</w:t>
      </w:r>
      <w:r>
        <w:rPr>
          <w:rFonts w:hint="default" w:ascii="Times New Roman" w:hAnsi="Times New Roman" w:eastAsia="仿宋_GB2312" w:cs="Times New Roman"/>
          <w:color w:val="auto"/>
          <w:sz w:val="32"/>
          <w:szCs w:val="32"/>
          <w:lang w:val="en-US" w:eastAsia="zh-CN"/>
        </w:rPr>
        <w:t>举办“双洋古镇楹联有奖征集”“福建省书法名家作品展”“第六届宁洋古城杯村 BA”</w:t>
      </w:r>
      <w:r>
        <w:rPr>
          <w:rFonts w:hint="default" w:ascii="Times New Roman" w:hAnsi="Times New Roman" w:eastAsia="仿宋_GB2312" w:cs="Times New Roman"/>
          <w:color w:val="auto"/>
          <w:sz w:val="32"/>
          <w:szCs w:val="32"/>
          <w:highlight w:val="none"/>
          <w:lang w:val="en-US" w:eastAsia="zh-CN"/>
        </w:rPr>
        <w:t>等一系列特色活动，让乡村在文化传承中焕发新机，在创新发展中实现振兴。</w:t>
      </w:r>
    </w:p>
    <w:p w14:paraId="443B95D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宋体" w:cs="Times New Roman"/>
          <w:color w:val="auto"/>
          <w:sz w:val="32"/>
          <w:szCs w:val="32"/>
          <w:lang w:val="en-US" w:eastAsia="zh-CN"/>
        </w:rPr>
      </w:pPr>
      <w:r>
        <w:rPr>
          <w:rFonts w:hint="default" w:ascii="Times New Roman" w:hAnsi="Times New Roman" w:eastAsia="宋体" w:cs="Times New Roman"/>
          <w:color w:val="auto"/>
          <w:sz w:val="32"/>
          <w:szCs w:val="32"/>
          <w:lang w:val="en-US" w:eastAsia="zh-CN"/>
        </w:rPr>
        <w:t>（三）聚焦民生保障与福祉提升，群众生活更加殷实</w:t>
      </w:r>
    </w:p>
    <w:p w14:paraId="0E0CDE4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坚持“人民至上”理念，用心用情</w:t>
      </w:r>
      <w:r>
        <w:rPr>
          <w:rFonts w:hint="default" w:ascii="Times New Roman" w:hAnsi="Times New Roman" w:eastAsia="仿宋_GB2312" w:cs="Times New Roman"/>
          <w:color w:val="auto"/>
          <w:sz w:val="32"/>
          <w:szCs w:val="32"/>
          <w:highlight w:val="none"/>
          <w:lang w:val="en-US" w:eastAsia="zh-CN"/>
        </w:rPr>
        <w:t>用力</w:t>
      </w:r>
      <w:r>
        <w:rPr>
          <w:rFonts w:hint="default" w:ascii="Times New Roman" w:hAnsi="Times New Roman" w:eastAsia="仿宋_GB2312" w:cs="Times New Roman"/>
          <w:color w:val="auto"/>
          <w:sz w:val="32"/>
          <w:szCs w:val="32"/>
          <w:lang w:val="en-US" w:eastAsia="zh-CN"/>
        </w:rPr>
        <w:t>解决群众“急难愁盼”</w:t>
      </w:r>
      <w:r>
        <w:rPr>
          <w:rFonts w:hint="default" w:ascii="Times New Roman" w:hAnsi="Times New Roman" w:eastAsia="仿宋_GB2312" w:cs="Times New Roman"/>
          <w:color w:val="auto"/>
          <w:sz w:val="32"/>
          <w:szCs w:val="32"/>
          <w:highlight w:val="none"/>
          <w:lang w:val="en-US" w:eastAsia="zh-CN"/>
        </w:rPr>
        <w:t>问题</w:t>
      </w:r>
      <w:r>
        <w:rPr>
          <w:rFonts w:hint="default" w:ascii="Times New Roman" w:hAnsi="Times New Roman" w:eastAsia="仿宋_GB2312" w:cs="Times New Roman"/>
          <w:color w:val="auto"/>
          <w:sz w:val="32"/>
          <w:szCs w:val="32"/>
          <w:lang w:val="en-US" w:eastAsia="zh-CN"/>
        </w:rPr>
        <w:t>，让发展成果更多更公平惠及全体人民。</w:t>
      </w:r>
    </w:p>
    <w:p w14:paraId="354218D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仿宋_GB2312" w:cs="Times New Roman"/>
          <w:color w:val="auto"/>
          <w:sz w:val="32"/>
          <w:szCs w:val="32"/>
          <w:highlight w:val="yellow"/>
          <w:lang w:val="en-US" w:eastAsia="zh-CN"/>
        </w:rPr>
      </w:pPr>
      <w:r>
        <w:rPr>
          <w:rFonts w:hint="default" w:ascii="Times New Roman" w:hAnsi="Times New Roman" w:eastAsia="楷体" w:cs="Times New Roman"/>
          <w:color w:val="auto"/>
          <w:sz w:val="32"/>
          <w:szCs w:val="32"/>
          <w:lang w:val="en-US" w:eastAsia="zh-CN"/>
        </w:rPr>
        <w:t>1.社会保障兜牢底线。</w:t>
      </w:r>
      <w:r>
        <w:rPr>
          <w:rFonts w:hint="default" w:ascii="Times New Roman" w:hAnsi="Times New Roman" w:eastAsia="仿宋_GB2312" w:cs="Times New Roman"/>
          <w:color w:val="auto"/>
          <w:sz w:val="32"/>
          <w:szCs w:val="32"/>
          <w:lang w:val="en-US" w:eastAsia="zh-CN"/>
        </w:rPr>
        <w:t>全年</w:t>
      </w:r>
      <w:r>
        <w:rPr>
          <w:rFonts w:hint="default" w:ascii="Times New Roman" w:hAnsi="Times New Roman" w:eastAsia="仿宋_GB2312" w:cs="Times New Roman"/>
          <w:color w:val="auto"/>
          <w:sz w:val="32"/>
          <w:szCs w:val="32"/>
          <w:highlight w:val="none"/>
          <w:lang w:val="en-US" w:eastAsia="zh-CN"/>
        </w:rPr>
        <w:t>累计</w:t>
      </w:r>
      <w:r>
        <w:rPr>
          <w:rFonts w:hint="default" w:ascii="Times New Roman" w:hAnsi="Times New Roman" w:eastAsia="仿宋_GB2312" w:cs="Times New Roman"/>
          <w:color w:val="auto"/>
          <w:sz w:val="32"/>
          <w:szCs w:val="32"/>
          <w:lang w:val="en-US" w:eastAsia="zh-CN"/>
        </w:rPr>
        <w:t>发放低保救助金114.6万元（</w:t>
      </w:r>
      <w:r>
        <w:rPr>
          <w:rFonts w:hint="default" w:ascii="Times New Roman" w:hAnsi="Times New Roman" w:eastAsia="楷体_GB2312" w:cs="Times New Roman"/>
          <w:bCs/>
          <w:color w:val="auto"/>
          <w:sz w:val="32"/>
          <w:szCs w:val="32"/>
          <w:lang w:val="en-US" w:eastAsia="zh-CN"/>
        </w:rPr>
        <w:t>覆盖136户259人</w:t>
      </w:r>
      <w:r>
        <w:rPr>
          <w:rFonts w:hint="default" w:ascii="Times New Roman" w:hAnsi="Times New Roman" w:eastAsia="仿宋_GB2312" w:cs="Times New Roman"/>
          <w:color w:val="auto"/>
          <w:sz w:val="32"/>
          <w:szCs w:val="32"/>
          <w:lang w:val="en-US" w:eastAsia="zh-CN"/>
        </w:rPr>
        <w:t>）、特困供养金86.6万元（</w:t>
      </w:r>
      <w:r>
        <w:rPr>
          <w:rFonts w:hint="default" w:ascii="Times New Roman" w:hAnsi="Times New Roman" w:eastAsia="楷体_GB2312" w:cs="Times New Roman"/>
          <w:bCs/>
          <w:color w:val="auto"/>
          <w:sz w:val="32"/>
          <w:szCs w:val="32"/>
          <w:lang w:val="en-US" w:eastAsia="zh-CN"/>
        </w:rPr>
        <w:t>52人</w:t>
      </w:r>
      <w:r>
        <w:rPr>
          <w:rFonts w:hint="default" w:ascii="Times New Roman" w:hAnsi="Times New Roman" w:eastAsia="仿宋_GB2312" w:cs="Times New Roman"/>
          <w:color w:val="auto"/>
          <w:sz w:val="32"/>
          <w:szCs w:val="32"/>
          <w:lang w:val="en-US" w:eastAsia="zh-CN"/>
        </w:rPr>
        <w:t>）、临时救助金10.1万元、残疾人“两项补贴”40.1万元</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000000" w:themeColor="text1"/>
          <w:sz w:val="32"/>
          <w:szCs w:val="32"/>
          <w:lang w:val="en-US" w:eastAsia="zh-CN"/>
        </w:rPr>
        <w:t>80岁以上老人高龄津贴发放19.3万元（</w:t>
      </w:r>
      <w:r>
        <w:rPr>
          <w:rFonts w:hint="default" w:ascii="Times New Roman" w:hAnsi="Times New Roman" w:eastAsia="楷体_GB2312" w:cs="Times New Roman"/>
          <w:bCs/>
          <w:color w:val="auto"/>
          <w:sz w:val="32"/>
          <w:szCs w:val="32"/>
          <w:lang w:val="en-US" w:eastAsia="zh-CN"/>
        </w:rPr>
        <w:t>288人</w:t>
      </w:r>
      <w:r>
        <w:rPr>
          <w:rFonts w:hint="default" w:ascii="Times New Roman" w:hAnsi="Times New Roman" w:eastAsia="仿宋_GB2312" w:cs="Times New Roman"/>
          <w:color w:val="000000" w:themeColor="text1"/>
          <w:sz w:val="32"/>
          <w:szCs w:val="32"/>
          <w:lang w:val="en-US" w:eastAsia="zh-CN"/>
        </w:rPr>
        <w:t>）</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为2名困难退役军人争取医疗救助金1.5万元，完成光荣牌悬挂3张、优待证办理6张</w:t>
      </w:r>
      <w:r>
        <w:rPr>
          <w:rFonts w:hint="default" w:ascii="Times New Roman" w:hAnsi="Times New Roman" w:eastAsia="仿宋_GB2312" w:cs="Times New Roman"/>
          <w:color w:val="auto"/>
          <w:sz w:val="32"/>
          <w:szCs w:val="32"/>
          <w:highlight w:val="none"/>
          <w:lang w:val="en-US" w:eastAsia="zh-CN"/>
        </w:rPr>
        <w:t>，社会保障网络不断织密。</w:t>
      </w:r>
    </w:p>
    <w:p w14:paraId="6AC2429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仿宋_GB2312" w:cs="Times New Roman"/>
          <w:color w:val="auto"/>
          <w:sz w:val="32"/>
          <w:szCs w:val="32"/>
          <w:highlight w:val="yellow"/>
          <w:lang w:val="en-US" w:eastAsia="zh-CN"/>
        </w:rPr>
      </w:pPr>
      <w:r>
        <w:rPr>
          <w:rFonts w:hint="default" w:ascii="Times New Roman" w:hAnsi="Times New Roman" w:eastAsia="楷体" w:cs="Times New Roman"/>
          <w:color w:val="auto"/>
          <w:sz w:val="32"/>
          <w:szCs w:val="32"/>
          <w:lang w:val="en-US" w:eastAsia="zh-CN"/>
        </w:rPr>
        <w:t>2.教育医疗均衡发展。</w:t>
      </w:r>
      <w:r>
        <w:rPr>
          <w:rFonts w:hint="default" w:ascii="Times New Roman" w:hAnsi="Times New Roman" w:eastAsia="仿宋_GB2312" w:cs="Times New Roman"/>
          <w:color w:val="auto"/>
          <w:sz w:val="32"/>
          <w:szCs w:val="32"/>
          <w:highlight w:val="none"/>
          <w:lang w:val="en-US" w:eastAsia="zh-CN"/>
        </w:rPr>
        <w:t>双洋学子学业成绩斐然，</w:t>
      </w:r>
      <w:r>
        <w:rPr>
          <w:rFonts w:hint="default" w:ascii="Times New Roman" w:hAnsi="Times New Roman" w:eastAsia="仿宋_GB2312" w:cs="Times New Roman"/>
          <w:color w:val="auto"/>
          <w:sz w:val="32"/>
          <w:szCs w:val="32"/>
          <w:lang w:val="en-US" w:eastAsia="zh-CN"/>
        </w:rPr>
        <w:t>考取硕博研究生9人、985/211院校6人、本科49人，</w:t>
      </w:r>
      <w:r>
        <w:rPr>
          <w:rFonts w:hint="default" w:ascii="Times New Roman" w:hAnsi="Times New Roman" w:eastAsia="仿宋_GB2312" w:cs="Times New Roman"/>
          <w:sz w:val="32"/>
          <w:szCs w:val="32"/>
          <w:lang w:val="en-US" w:eastAsia="zh-CN"/>
        </w:rPr>
        <w:t>中村颜琪慧勇夺2025 年亚青赛举重冠军，共</w:t>
      </w:r>
      <w:r>
        <w:rPr>
          <w:rFonts w:hint="default" w:ascii="Times New Roman" w:hAnsi="Times New Roman" w:eastAsia="仿宋_GB2312" w:cs="Times New Roman"/>
          <w:color w:val="auto"/>
          <w:sz w:val="32"/>
          <w:szCs w:val="32"/>
          <w:lang w:val="en-US" w:eastAsia="zh-CN"/>
        </w:rPr>
        <w:t>发放奖教奖学奖体金15.1万元；联合</w:t>
      </w:r>
      <w:r>
        <w:rPr>
          <w:rFonts w:hint="eastAsia" w:ascii="Times New Roman" w:hAnsi="Times New Roman" w:eastAsia="仿宋_GB2312" w:cs="Times New Roman"/>
          <w:color w:val="auto"/>
          <w:sz w:val="32"/>
          <w:szCs w:val="32"/>
          <w:lang w:val="en-US" w:eastAsia="zh-CN"/>
        </w:rPr>
        <w:t>镇</w:t>
      </w:r>
      <w:r>
        <w:rPr>
          <w:rFonts w:hint="default" w:ascii="Times New Roman" w:hAnsi="Times New Roman" w:eastAsia="仿宋_GB2312" w:cs="Times New Roman"/>
          <w:color w:val="auto"/>
          <w:sz w:val="32"/>
          <w:szCs w:val="32"/>
          <w:lang w:val="en-US" w:eastAsia="zh-CN"/>
        </w:rPr>
        <w:t>卫生院开展“健康+银龄平安出行”专项行动，进村入户宣传交通安全与健康知识，惠及老年人500余人次</w:t>
      </w:r>
      <w:r>
        <w:rPr>
          <w:rFonts w:hint="default" w:ascii="Times New Roman" w:hAnsi="Times New Roman" w:eastAsia="仿宋_GB2312" w:cs="Times New Roman"/>
          <w:color w:val="auto"/>
          <w:sz w:val="32"/>
          <w:szCs w:val="32"/>
          <w:highlight w:val="none"/>
          <w:lang w:val="en-US" w:eastAsia="zh-CN"/>
        </w:rPr>
        <w:t>，教育医疗服务水平持续提升。</w:t>
      </w:r>
    </w:p>
    <w:p w14:paraId="02D8B05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 w:cs="Times New Roman"/>
          <w:color w:val="auto"/>
          <w:sz w:val="32"/>
          <w:szCs w:val="32"/>
          <w:lang w:val="en-US" w:eastAsia="zh-CN"/>
        </w:rPr>
        <w:t>3.基础设施持续完善。</w:t>
      </w:r>
      <w:r>
        <w:rPr>
          <w:rFonts w:hint="default" w:ascii="Times New Roman" w:hAnsi="Times New Roman" w:eastAsia="仿宋_GB2312" w:cs="Times New Roman"/>
          <w:color w:val="auto"/>
          <w:sz w:val="32"/>
          <w:szCs w:val="32"/>
          <w:lang w:val="en-US" w:eastAsia="zh-CN"/>
        </w:rPr>
        <w:t>中村双甲坑至尾村农村道路改扩建工程保通道路</w:t>
      </w:r>
      <w:r>
        <w:rPr>
          <w:rFonts w:hint="default" w:ascii="Times New Roman" w:hAnsi="Times New Roman" w:eastAsia="仿宋_GB2312" w:cs="Times New Roman"/>
          <w:color w:val="auto"/>
          <w:sz w:val="32"/>
          <w:szCs w:val="32"/>
          <w:highlight w:val="none"/>
          <w:lang w:val="en-US" w:eastAsia="zh-CN"/>
        </w:rPr>
        <w:t>顺利</w:t>
      </w:r>
      <w:r>
        <w:rPr>
          <w:rFonts w:hint="default" w:ascii="Times New Roman" w:hAnsi="Times New Roman" w:eastAsia="仿宋_GB2312" w:cs="Times New Roman"/>
          <w:color w:val="auto"/>
          <w:sz w:val="32"/>
          <w:szCs w:val="32"/>
          <w:lang w:val="en-US" w:eastAsia="zh-CN"/>
        </w:rPr>
        <w:t>通车</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完成C015线温坑段生命安全防护工程；修复温坑至马山农村公路3.87公里，</w:t>
      </w:r>
      <w:r>
        <w:rPr>
          <w:rFonts w:hint="default" w:ascii="Times New Roman" w:hAnsi="Times New Roman" w:eastAsia="仿宋_GB2312" w:cs="Times New Roman"/>
          <w:color w:val="auto"/>
          <w:sz w:val="32"/>
          <w:szCs w:val="32"/>
          <w:highlight w:val="none"/>
          <w:lang w:val="en-US" w:eastAsia="zh-CN"/>
        </w:rPr>
        <w:t>切实解决群众出行“最后一公里”问题；全面</w:t>
      </w:r>
      <w:r>
        <w:rPr>
          <w:rFonts w:hint="default" w:ascii="Times New Roman" w:hAnsi="Times New Roman" w:eastAsia="仿宋_GB2312" w:cs="Times New Roman"/>
          <w:color w:val="auto"/>
          <w:sz w:val="32"/>
          <w:szCs w:val="32"/>
          <w:lang w:val="en-US" w:eastAsia="zh-CN"/>
        </w:rPr>
        <w:t>完成中学路口安全隐患整改，</w:t>
      </w:r>
      <w:r>
        <w:rPr>
          <w:rFonts w:hint="default" w:ascii="Times New Roman" w:hAnsi="Times New Roman" w:eastAsia="仿宋_GB2312" w:cs="Times New Roman"/>
          <w:color w:val="auto"/>
          <w:sz w:val="32"/>
          <w:szCs w:val="32"/>
          <w:highlight w:val="none"/>
          <w:lang w:val="en-US" w:eastAsia="zh-CN"/>
        </w:rPr>
        <w:t>成功破解困扰师生家长多年的出行难题，赢得群众一致好评。</w:t>
      </w:r>
    </w:p>
    <w:p w14:paraId="1156FDC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宋体" w:cs="Times New Roman"/>
          <w:color w:val="auto"/>
          <w:sz w:val="32"/>
          <w:szCs w:val="32"/>
          <w:lang w:val="en-US" w:eastAsia="zh-CN"/>
        </w:rPr>
      </w:pPr>
      <w:r>
        <w:rPr>
          <w:rFonts w:hint="default" w:ascii="Times New Roman" w:hAnsi="Times New Roman" w:eastAsia="宋体" w:cs="Times New Roman"/>
          <w:color w:val="auto"/>
          <w:sz w:val="32"/>
          <w:szCs w:val="32"/>
          <w:lang w:val="en-US" w:eastAsia="zh-CN"/>
        </w:rPr>
        <w:t>（四）强化治理效能与安全守护，社会大局和谐稳定</w:t>
      </w:r>
    </w:p>
    <w:p w14:paraId="2BE912F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仿宋_GB2312" w:cs="Times New Roman"/>
          <w:color w:val="auto"/>
          <w:sz w:val="32"/>
          <w:szCs w:val="32"/>
          <w:highlight w:val="yellow"/>
          <w:lang w:val="en-US" w:eastAsia="zh-CN"/>
        </w:rPr>
      </w:pPr>
      <w:r>
        <w:rPr>
          <w:rFonts w:hint="default" w:ascii="Times New Roman" w:hAnsi="Times New Roman" w:eastAsia="仿宋_GB2312" w:cs="Times New Roman"/>
          <w:color w:val="auto"/>
          <w:sz w:val="32"/>
          <w:szCs w:val="32"/>
          <w:highlight w:val="none"/>
          <w:lang w:val="en-US" w:eastAsia="zh-CN"/>
        </w:rPr>
        <w:t>以 “平安双洋” 建设为核心，不断织密治理网络，坚决守牢安全底线，确保社会大局持续和谐稳定。</w:t>
      </w:r>
    </w:p>
    <w:p w14:paraId="2BA9092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2"/>
          <w:sz w:val="32"/>
          <w:szCs w:val="32"/>
          <w:lang w:val="en-US" w:eastAsia="zh-CN" w:bidi="ar-SA"/>
        </w:rPr>
        <w:t>1.</w:t>
      </w:r>
      <w:r>
        <w:rPr>
          <w:rFonts w:hint="default" w:ascii="Times New Roman" w:hAnsi="Times New Roman" w:eastAsia="楷体" w:cs="Times New Roman"/>
          <w:color w:val="auto"/>
          <w:sz w:val="32"/>
          <w:szCs w:val="32"/>
          <w:lang w:val="en-US" w:eastAsia="zh-CN"/>
        </w:rPr>
        <w:t>平安建设纵深推进。</w:t>
      </w:r>
      <w:r>
        <w:rPr>
          <w:rFonts w:hint="default" w:ascii="Times New Roman" w:hAnsi="Times New Roman" w:eastAsia="仿宋_GB2312" w:cs="Times New Roman"/>
          <w:color w:val="auto"/>
          <w:sz w:val="32"/>
          <w:szCs w:val="32"/>
          <w:lang w:val="en-US" w:eastAsia="zh-CN"/>
        </w:rPr>
        <w:t>重拳打击治理电信网络诈骗，共</w:t>
      </w:r>
      <w:r>
        <w:rPr>
          <w:rFonts w:hint="default" w:ascii="Times New Roman" w:hAnsi="Times New Roman" w:eastAsia="仿宋_GB2312" w:cs="Times New Roman"/>
          <w:color w:val="auto"/>
          <w:sz w:val="32"/>
          <w:szCs w:val="32"/>
          <w:highlight w:val="none"/>
          <w:lang w:val="en-US" w:eastAsia="zh-CN"/>
        </w:rPr>
        <w:t>成功</w:t>
      </w:r>
      <w:r>
        <w:rPr>
          <w:rFonts w:hint="default" w:ascii="Times New Roman" w:hAnsi="Times New Roman" w:eastAsia="仿宋_GB2312" w:cs="Times New Roman"/>
          <w:color w:val="auto"/>
          <w:sz w:val="32"/>
          <w:szCs w:val="32"/>
          <w:lang w:val="en-US" w:eastAsia="zh-CN"/>
        </w:rPr>
        <w:t>核减滞留境外涉诈高危人员36人，摸排重点人员889人；</w:t>
      </w:r>
      <w:r>
        <w:rPr>
          <w:rFonts w:hint="default" w:ascii="Times New Roman" w:hAnsi="Times New Roman" w:eastAsia="仿宋_GB2312" w:cs="Times New Roman"/>
          <w:color w:val="auto"/>
          <w:sz w:val="32"/>
          <w:szCs w:val="32"/>
          <w:highlight w:val="none"/>
          <w:lang w:val="en-US" w:eastAsia="zh-CN"/>
        </w:rPr>
        <w:t>常态化开展</w:t>
      </w:r>
      <w:r>
        <w:rPr>
          <w:rFonts w:hint="default" w:ascii="Times New Roman" w:hAnsi="Times New Roman" w:eastAsia="仿宋_GB2312" w:cs="Times New Roman"/>
          <w:color w:val="auto"/>
          <w:sz w:val="32"/>
          <w:szCs w:val="32"/>
          <w:lang w:val="en-US" w:eastAsia="zh-CN"/>
        </w:rPr>
        <w:t>涉麻制毒整治，巡查重点场所11处</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highlight w:val="none"/>
          <w:lang w:val="en-US" w:eastAsia="zh-CN"/>
        </w:rPr>
        <w:t>组织</w:t>
      </w:r>
      <w:r>
        <w:rPr>
          <w:rFonts w:hint="default" w:ascii="Times New Roman" w:hAnsi="Times New Roman" w:eastAsia="仿宋_GB2312" w:cs="Times New Roman"/>
          <w:color w:val="auto"/>
          <w:sz w:val="32"/>
          <w:szCs w:val="32"/>
          <w:lang w:val="en-US" w:eastAsia="zh-CN"/>
        </w:rPr>
        <w:t>无人机巡山40余人次；</w:t>
      </w:r>
      <w:r>
        <w:rPr>
          <w:rFonts w:hint="default" w:ascii="Times New Roman" w:hAnsi="Times New Roman" w:eastAsia="仿宋_GB2312" w:cs="Times New Roman"/>
          <w:color w:val="auto"/>
          <w:sz w:val="32"/>
          <w:szCs w:val="32"/>
          <w:highlight w:val="none"/>
          <w:lang w:val="en-US" w:eastAsia="zh-CN"/>
        </w:rPr>
        <w:t>累计</w:t>
      </w:r>
      <w:r>
        <w:rPr>
          <w:rFonts w:hint="default" w:ascii="Times New Roman" w:hAnsi="Times New Roman" w:eastAsia="仿宋_GB2312" w:cs="Times New Roman"/>
          <w:color w:val="auto"/>
          <w:sz w:val="32"/>
          <w:szCs w:val="32"/>
          <w:lang w:val="en-US" w:eastAsia="zh-CN"/>
        </w:rPr>
        <w:t>排查化解矛盾纠纷45起，</w:t>
      </w:r>
      <w:r>
        <w:rPr>
          <w:rFonts w:hint="default" w:ascii="Times New Roman" w:hAnsi="Times New Roman" w:eastAsia="仿宋_GB2312" w:cs="Times New Roman"/>
          <w:color w:val="auto"/>
          <w:sz w:val="32"/>
          <w:szCs w:val="32"/>
          <w:highlight w:val="none"/>
          <w:lang w:val="en-US" w:eastAsia="zh-CN"/>
        </w:rPr>
        <w:t>调解成功率达</w:t>
      </w:r>
      <w:r>
        <w:rPr>
          <w:rFonts w:hint="default" w:ascii="Times New Roman" w:hAnsi="Times New Roman" w:eastAsia="仿宋_GB2312" w:cs="Times New Roman"/>
          <w:color w:val="auto"/>
          <w:sz w:val="32"/>
          <w:szCs w:val="32"/>
          <w:lang w:val="en-US" w:eastAsia="zh-CN"/>
        </w:rPr>
        <w:t>100%，处理12345平台诉求152件、信访件8件，实现“小事不出村、大事不出镇”。</w:t>
      </w:r>
    </w:p>
    <w:p w14:paraId="71690DB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2"/>
          <w:sz w:val="32"/>
          <w:szCs w:val="32"/>
          <w:lang w:val="en-US" w:eastAsia="zh-CN" w:bidi="ar-SA"/>
        </w:rPr>
        <w:t>2.</w:t>
      </w:r>
      <w:r>
        <w:rPr>
          <w:rFonts w:hint="default" w:ascii="Times New Roman" w:hAnsi="Times New Roman" w:eastAsia="楷体" w:cs="Times New Roman"/>
          <w:color w:val="auto"/>
          <w:sz w:val="32"/>
          <w:szCs w:val="32"/>
          <w:lang w:val="en-US" w:eastAsia="zh-CN"/>
        </w:rPr>
        <w:t>安全生产常抓不懈。</w:t>
      </w:r>
      <w:r>
        <w:rPr>
          <w:rFonts w:hint="default" w:ascii="Times New Roman" w:hAnsi="Times New Roman" w:eastAsia="仿宋_GB2312" w:cs="Times New Roman"/>
          <w:color w:val="auto"/>
          <w:sz w:val="32"/>
          <w:szCs w:val="32"/>
          <w:lang w:val="en-US" w:eastAsia="zh-CN"/>
        </w:rPr>
        <w:t>开展企业安全检查</w:t>
      </w:r>
      <w:r>
        <w:rPr>
          <w:rFonts w:hint="default" w:ascii="Times New Roman" w:hAnsi="Times New Roman" w:eastAsia="仿宋_GB2312" w:cs="Times New Roman"/>
          <w:color w:val="000000" w:themeColor="text1"/>
          <w:sz w:val="32"/>
          <w:szCs w:val="32"/>
          <w:lang w:val="en-US" w:eastAsia="zh-CN"/>
        </w:rPr>
        <w:t>46家次</w:t>
      </w:r>
      <w:r>
        <w:rPr>
          <w:rFonts w:hint="default" w:ascii="Times New Roman" w:hAnsi="Times New Roman" w:eastAsia="仿宋_GB2312" w:cs="Times New Roman"/>
          <w:color w:val="auto"/>
          <w:sz w:val="32"/>
          <w:szCs w:val="32"/>
          <w:lang w:val="en-US" w:eastAsia="zh-CN"/>
        </w:rPr>
        <w:t>、大排查138人次，整改隐患33项（</w:t>
      </w:r>
      <w:r>
        <w:rPr>
          <w:rFonts w:hint="default" w:ascii="Times New Roman" w:hAnsi="Times New Roman" w:eastAsia="楷体_GB2312" w:cs="Times New Roman"/>
          <w:bCs/>
          <w:color w:val="auto"/>
          <w:sz w:val="32"/>
          <w:szCs w:val="32"/>
          <w:lang w:val="en-US" w:eastAsia="zh-CN"/>
        </w:rPr>
        <w:t>到期整改率100%</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highlight w:val="none"/>
          <w:lang w:val="en-US" w:eastAsia="zh-CN"/>
        </w:rPr>
        <w:t>全面</w:t>
      </w:r>
      <w:r>
        <w:rPr>
          <w:rFonts w:hint="default" w:ascii="Times New Roman" w:hAnsi="Times New Roman" w:eastAsia="仿宋_GB2312" w:cs="Times New Roman"/>
          <w:color w:val="auto"/>
          <w:sz w:val="32"/>
          <w:szCs w:val="32"/>
          <w:lang w:val="en-US" w:eastAsia="zh-CN"/>
        </w:rPr>
        <w:t>排查全镇324座烤烟房</w:t>
      </w:r>
      <w:r>
        <w:rPr>
          <w:rFonts w:hint="default" w:ascii="Times New Roman" w:hAnsi="Times New Roman" w:eastAsia="仿宋_GB2312" w:cs="Times New Roman"/>
          <w:color w:val="auto"/>
          <w:sz w:val="32"/>
          <w:szCs w:val="32"/>
          <w:highlight w:val="none"/>
          <w:lang w:val="en-US" w:eastAsia="zh-CN"/>
        </w:rPr>
        <w:t>，及时</w:t>
      </w:r>
      <w:r>
        <w:rPr>
          <w:rFonts w:hint="default" w:ascii="Times New Roman" w:hAnsi="Times New Roman" w:eastAsia="仿宋_GB2312" w:cs="Times New Roman"/>
          <w:color w:val="auto"/>
          <w:sz w:val="32"/>
          <w:szCs w:val="32"/>
          <w:lang w:val="en-US" w:eastAsia="zh-CN"/>
        </w:rPr>
        <w:t>消除火灾隐患，建成1个镇级、8个村级微型消防站，</w:t>
      </w:r>
      <w:r>
        <w:rPr>
          <w:rFonts w:hint="default" w:ascii="Times New Roman" w:hAnsi="Times New Roman" w:eastAsia="仿宋_GB2312" w:cs="Times New Roman"/>
          <w:color w:val="auto"/>
          <w:sz w:val="32"/>
          <w:szCs w:val="32"/>
          <w:highlight w:val="none"/>
          <w:lang w:val="en-US" w:eastAsia="zh-CN"/>
        </w:rPr>
        <w:t>累计</w:t>
      </w:r>
      <w:r>
        <w:rPr>
          <w:rFonts w:hint="default" w:ascii="Times New Roman" w:hAnsi="Times New Roman" w:eastAsia="仿宋_GB2312" w:cs="Times New Roman"/>
          <w:color w:val="auto"/>
          <w:sz w:val="32"/>
          <w:szCs w:val="32"/>
          <w:lang w:val="en-US" w:eastAsia="zh-CN"/>
        </w:rPr>
        <w:t>出警灭火3次，</w:t>
      </w:r>
      <w:r>
        <w:rPr>
          <w:rFonts w:hint="default" w:ascii="Times New Roman" w:hAnsi="Times New Roman" w:eastAsia="仿宋_GB2312" w:cs="Times New Roman"/>
          <w:color w:val="auto"/>
          <w:sz w:val="32"/>
          <w:szCs w:val="32"/>
          <w:highlight w:val="none"/>
          <w:lang w:val="en-US" w:eastAsia="zh-CN"/>
        </w:rPr>
        <w:t>全镇</w:t>
      </w:r>
      <w:r>
        <w:rPr>
          <w:rFonts w:hint="default" w:ascii="Times New Roman" w:hAnsi="Times New Roman" w:eastAsia="仿宋_GB2312" w:cs="Times New Roman"/>
          <w:color w:val="auto"/>
          <w:sz w:val="32"/>
          <w:szCs w:val="32"/>
          <w:lang w:val="en-US" w:eastAsia="zh-CN"/>
        </w:rPr>
        <w:t>未发生重特大安全事故。</w:t>
      </w:r>
    </w:p>
    <w:p w14:paraId="033AD73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kern w:val="2"/>
          <w:sz w:val="32"/>
          <w:szCs w:val="32"/>
          <w:lang w:val="en-US" w:eastAsia="zh-CN" w:bidi="ar-SA"/>
        </w:rPr>
        <w:t>3.</w:t>
      </w:r>
      <w:r>
        <w:rPr>
          <w:rFonts w:hint="default" w:ascii="Times New Roman" w:hAnsi="Times New Roman" w:eastAsia="楷体" w:cs="Times New Roman"/>
          <w:color w:val="auto"/>
          <w:sz w:val="32"/>
          <w:szCs w:val="32"/>
          <w:lang w:val="en-US" w:eastAsia="zh-CN"/>
        </w:rPr>
        <w:t>综合执法规范高效。</w:t>
      </w:r>
      <w:r>
        <w:rPr>
          <w:rFonts w:hint="default" w:ascii="Times New Roman" w:hAnsi="Times New Roman" w:eastAsia="仿宋_GB2312" w:cs="Times New Roman"/>
          <w:color w:val="auto"/>
          <w:sz w:val="32"/>
          <w:szCs w:val="32"/>
          <w:lang w:val="en-US" w:eastAsia="zh-CN"/>
        </w:rPr>
        <w:t>严格规范行政执法行为，实施行政处罚3宗</w:t>
      </w:r>
      <w:r>
        <w:rPr>
          <w:rFonts w:hint="default" w:ascii="Times New Roman" w:hAnsi="Times New Roman" w:eastAsia="仿宋_GB2312" w:cs="Times New Roman"/>
          <w:color w:val="auto"/>
          <w:sz w:val="32"/>
          <w:szCs w:val="32"/>
          <w:highlight w:val="none"/>
          <w:lang w:val="en-US" w:eastAsia="zh-CN"/>
        </w:rPr>
        <w:t>，协助市级办理案件10宗；大力整治“两违”30处，完成154栋经营性自建房、54栋历史建筑月度排查（</w:t>
      </w:r>
      <w:r>
        <w:rPr>
          <w:rFonts w:hint="default" w:ascii="Times New Roman" w:hAnsi="Times New Roman" w:eastAsia="楷体_GB2312" w:cs="Times New Roman"/>
          <w:bCs/>
          <w:color w:val="auto"/>
          <w:sz w:val="32"/>
          <w:szCs w:val="32"/>
          <w:lang w:val="en-US" w:eastAsia="zh-CN"/>
        </w:rPr>
        <w:t>完成率100%</w:t>
      </w:r>
      <w:r>
        <w:rPr>
          <w:rFonts w:hint="default" w:ascii="Times New Roman" w:hAnsi="Times New Roman" w:eastAsia="仿宋_GB2312" w:cs="Times New Roman"/>
          <w:color w:val="auto"/>
          <w:sz w:val="32"/>
          <w:szCs w:val="32"/>
          <w:highlight w:val="none"/>
          <w:lang w:val="en-US" w:eastAsia="zh-CN"/>
        </w:rPr>
        <w:t>），精心修缮东洋“聚德堂”、西洋“贻燕堂”等历史建筑，守护古镇历史风貌。</w:t>
      </w:r>
    </w:p>
    <w:p w14:paraId="3F380DC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宋体" w:cs="Times New Roman"/>
          <w:color w:val="auto"/>
          <w:sz w:val="32"/>
          <w:szCs w:val="32"/>
          <w:lang w:val="en-US" w:eastAsia="zh-CN"/>
        </w:rPr>
      </w:pPr>
      <w:r>
        <w:rPr>
          <w:rFonts w:hint="default" w:ascii="Times New Roman" w:hAnsi="Times New Roman" w:eastAsia="宋体" w:cs="Times New Roman"/>
          <w:color w:val="auto"/>
          <w:sz w:val="32"/>
          <w:szCs w:val="32"/>
          <w:lang w:val="en-US" w:eastAsia="zh-CN"/>
        </w:rPr>
        <w:t>（五）突出党建引领与作风转变，政府效能不断提升</w:t>
      </w:r>
    </w:p>
    <w:p w14:paraId="026C39D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仿宋_GB2312" w:cs="Times New Roman"/>
          <w:color w:val="auto"/>
          <w:sz w:val="32"/>
          <w:szCs w:val="32"/>
          <w:highlight w:val="yellow"/>
          <w:lang w:val="en-US" w:eastAsia="zh-CN"/>
        </w:rPr>
      </w:pPr>
      <w:r>
        <w:rPr>
          <w:rFonts w:hint="default" w:ascii="Times New Roman" w:hAnsi="Times New Roman" w:eastAsia="仿宋_GB2312" w:cs="Times New Roman"/>
          <w:color w:val="auto"/>
          <w:sz w:val="32"/>
          <w:szCs w:val="32"/>
          <w:lang w:val="en-US" w:eastAsia="zh-CN"/>
        </w:rPr>
        <w:t>以全面从严治党为引领，</w:t>
      </w:r>
      <w:r>
        <w:rPr>
          <w:rFonts w:hint="default" w:ascii="Times New Roman" w:hAnsi="Times New Roman" w:eastAsia="仿宋_GB2312" w:cs="Times New Roman"/>
          <w:color w:val="auto"/>
          <w:sz w:val="32"/>
          <w:szCs w:val="32"/>
          <w:highlight w:val="none"/>
          <w:lang w:val="en-US" w:eastAsia="zh-CN"/>
        </w:rPr>
        <w:t>着力锻造忠诚干净担当的干部队伍，持续提升政府治理能力和服务水平。</w:t>
      </w:r>
    </w:p>
    <w:p w14:paraId="624C998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kern w:val="2"/>
          <w:sz w:val="32"/>
          <w:szCs w:val="32"/>
          <w:lang w:val="en-US" w:eastAsia="zh-CN" w:bidi="ar-SA"/>
        </w:rPr>
        <w:t>1.</w:t>
      </w:r>
      <w:r>
        <w:rPr>
          <w:rFonts w:hint="default" w:ascii="Times New Roman" w:hAnsi="Times New Roman" w:eastAsia="楷体" w:cs="Times New Roman"/>
          <w:color w:val="auto"/>
          <w:sz w:val="32"/>
          <w:szCs w:val="32"/>
          <w:lang w:val="en-US" w:eastAsia="zh-CN"/>
        </w:rPr>
        <w:t>作风建设严实有力。</w:t>
      </w:r>
      <w:r>
        <w:rPr>
          <w:rFonts w:hint="default" w:ascii="Times New Roman" w:hAnsi="Times New Roman" w:eastAsia="仿宋_GB2312" w:cs="Times New Roman"/>
          <w:color w:val="auto"/>
          <w:sz w:val="32"/>
          <w:szCs w:val="32"/>
          <w:lang w:val="en-US" w:eastAsia="zh-CN"/>
        </w:rPr>
        <w:t>扎实开展深入贯彻中央八项规定精神学习教育，深入</w:t>
      </w:r>
      <w:r>
        <w:rPr>
          <w:rFonts w:hint="default" w:ascii="Times New Roman" w:hAnsi="Times New Roman" w:eastAsia="仿宋_GB2312" w:cs="Times New Roman"/>
          <w:color w:val="auto"/>
          <w:sz w:val="32"/>
          <w:szCs w:val="32"/>
          <w:highlight w:val="none"/>
          <w:lang w:val="en-US" w:eastAsia="zh-CN"/>
        </w:rPr>
        <w:t>推进群众身边不正之风和腐败问题集中整治工作，推动</w:t>
      </w:r>
      <w:r>
        <w:rPr>
          <w:rFonts w:hint="default" w:ascii="Times New Roman" w:hAnsi="Times New Roman" w:eastAsia="仿宋_GB2312" w:cs="Times New Roman"/>
          <w:color w:val="auto"/>
          <w:sz w:val="32"/>
          <w:szCs w:val="32"/>
          <w:lang w:val="en-US" w:eastAsia="zh-CN"/>
        </w:rPr>
        <w:t>作风建设常态化长效化；自觉接受人大法律监督和社会民主监督，</w:t>
      </w:r>
      <w:r>
        <w:rPr>
          <w:rFonts w:hint="default" w:ascii="Times New Roman" w:hAnsi="Times New Roman" w:eastAsia="仿宋_GB2312" w:cs="Times New Roman"/>
          <w:color w:val="auto"/>
          <w:sz w:val="32"/>
          <w:szCs w:val="32"/>
          <w:highlight w:val="none"/>
          <w:lang w:val="en-US" w:eastAsia="zh-CN"/>
        </w:rPr>
        <w:t>高效办理人大代表建议10件，满意率为100％；充分用好“小微权力”监督平台，各村累计发布村务公开452条、事前公示73条，直播村级项目17场次（</w:t>
      </w:r>
      <w:r>
        <w:rPr>
          <w:rFonts w:hint="default" w:ascii="Times New Roman" w:hAnsi="Times New Roman" w:eastAsia="楷体_GB2312" w:cs="Times New Roman"/>
          <w:bCs/>
          <w:color w:val="auto"/>
          <w:sz w:val="32"/>
          <w:szCs w:val="32"/>
          <w:lang w:val="en-US" w:eastAsia="zh-CN"/>
        </w:rPr>
        <w:t>涉及资金109.38万元</w:t>
      </w:r>
      <w:r>
        <w:rPr>
          <w:rFonts w:hint="default" w:ascii="Times New Roman" w:hAnsi="Times New Roman" w:eastAsia="仿宋_GB2312" w:cs="Times New Roman"/>
          <w:color w:val="auto"/>
          <w:sz w:val="32"/>
          <w:szCs w:val="32"/>
          <w:highlight w:val="none"/>
          <w:lang w:val="en-US" w:eastAsia="zh-CN"/>
        </w:rPr>
        <w:t>），权力运行更加公开透明。</w:t>
      </w:r>
    </w:p>
    <w:p w14:paraId="45E1845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2"/>
          <w:sz w:val="32"/>
          <w:szCs w:val="32"/>
          <w:lang w:val="en-US" w:eastAsia="zh-CN" w:bidi="ar-SA"/>
        </w:rPr>
        <w:t>2.</w:t>
      </w:r>
      <w:r>
        <w:rPr>
          <w:rFonts w:hint="default" w:ascii="Times New Roman" w:hAnsi="Times New Roman" w:eastAsia="楷体" w:cs="Times New Roman"/>
          <w:color w:val="auto"/>
          <w:sz w:val="32"/>
          <w:szCs w:val="32"/>
          <w:lang w:val="en-US" w:eastAsia="zh-CN"/>
        </w:rPr>
        <w:t>依法行政落地见效。</w:t>
      </w:r>
      <w:r>
        <w:rPr>
          <w:rFonts w:hint="default" w:ascii="Times New Roman" w:hAnsi="Times New Roman" w:eastAsia="仿宋_GB2312" w:cs="Times New Roman"/>
          <w:color w:val="auto"/>
          <w:sz w:val="32"/>
          <w:szCs w:val="32"/>
          <w:lang w:val="en-US" w:eastAsia="zh-CN"/>
        </w:rPr>
        <w:t>严格执行“三重一大”决策程序，完成行政合法性审查36件；开展法治宣传活动20场次，组织“法律明白人”进村宣传45次，受教育群众3000余人次，法治政府建设水平持续提升。</w:t>
      </w:r>
    </w:p>
    <w:p w14:paraId="71EC1CE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二、“十五五” 时期工作要点——锚定双洋发展蓝图，笃定前行</w:t>
      </w:r>
    </w:p>
    <w:p w14:paraId="3A038C5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“十五五”时期是双洋镇打造“有区域聚集力的开放包容活力城镇”、在中国式现代化漳平篇章建设中奋勇争先的关键五年。我们将聚焦五大重点任务，奋力开创双洋高质量发展新局面。</w:t>
      </w:r>
    </w:p>
    <w:p w14:paraId="7725926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宋体" w:cs="Times New Roman"/>
          <w:color w:val="auto"/>
          <w:sz w:val="32"/>
          <w:szCs w:val="32"/>
          <w:lang w:val="en-US" w:eastAsia="zh-CN"/>
        </w:rPr>
      </w:pPr>
      <w:r>
        <w:rPr>
          <w:rFonts w:hint="default" w:ascii="Times New Roman" w:hAnsi="Times New Roman" w:eastAsia="宋体" w:cs="Times New Roman"/>
          <w:color w:val="auto"/>
          <w:sz w:val="32"/>
          <w:szCs w:val="32"/>
          <w:lang w:val="en-US" w:eastAsia="zh-CN"/>
        </w:rPr>
        <w:t xml:space="preserve">（一）构建重大项目辐射体系，打造区域增长极核 </w:t>
      </w:r>
    </w:p>
    <w:p w14:paraId="0DD43BB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lang w:val="en-US" w:eastAsia="zh-CN"/>
        </w:rPr>
        <w:t>以重大项目投产见效为基础，推动项目效应最大化、产业配套系统化、区域发展一体化，</w:t>
      </w:r>
      <w:r>
        <w:rPr>
          <w:rFonts w:hint="default" w:ascii="Times New Roman" w:hAnsi="Times New Roman" w:eastAsia="仿宋_GB2312" w:cs="Times New Roman"/>
          <w:color w:val="auto"/>
          <w:sz w:val="32"/>
          <w:szCs w:val="32"/>
          <w:highlight w:val="none"/>
          <w:lang w:val="en-US" w:eastAsia="zh-CN"/>
        </w:rPr>
        <w:t>着力形成“核心引领、多点支撑、全域联动”的发展格局。</w:t>
      </w:r>
    </w:p>
    <w:p w14:paraId="0093589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kern w:val="2"/>
          <w:sz w:val="32"/>
          <w:szCs w:val="32"/>
          <w:lang w:val="en-US" w:eastAsia="zh-CN" w:bidi="ar-SA"/>
        </w:rPr>
        <w:t>1.</w:t>
      </w:r>
      <w:r>
        <w:rPr>
          <w:rFonts w:hint="default" w:ascii="Times New Roman" w:hAnsi="Times New Roman" w:eastAsia="楷体" w:cs="Times New Roman"/>
          <w:color w:val="auto"/>
          <w:sz w:val="32"/>
          <w:szCs w:val="32"/>
          <w:highlight w:val="none"/>
          <w:lang w:val="en-US" w:eastAsia="zh-CN"/>
        </w:rPr>
        <w:t>深化核心项目辐射带动。</w:t>
      </w:r>
      <w:r>
        <w:rPr>
          <w:rFonts w:hint="default" w:ascii="Times New Roman" w:hAnsi="Times New Roman" w:eastAsia="仿宋_GB2312" w:cs="Times New Roman"/>
          <w:color w:val="auto"/>
          <w:sz w:val="32"/>
          <w:szCs w:val="32"/>
          <w:highlight w:val="none"/>
          <w:lang w:val="en-US" w:eastAsia="zh-CN"/>
        </w:rPr>
        <w:t xml:space="preserve">全力推动漳平抽水蓄能电站全面投产并充分发挥综合效益，依托项目形成的能源优势与基础设施网络，积极引进上下游配套产业项目，培育能源服务、装备维护等关联业态，打造特色鲜明的能源产业配套集聚区。 </w:t>
      </w:r>
    </w:p>
    <w:p w14:paraId="479CCCD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kern w:val="2"/>
          <w:sz w:val="32"/>
          <w:szCs w:val="32"/>
          <w:lang w:val="en-US" w:eastAsia="zh-CN" w:bidi="ar-SA"/>
        </w:rPr>
        <w:t>2.</w:t>
      </w:r>
      <w:r>
        <w:rPr>
          <w:rFonts w:hint="default" w:ascii="Times New Roman" w:hAnsi="Times New Roman" w:eastAsia="楷体" w:cs="Times New Roman"/>
          <w:color w:val="auto"/>
          <w:sz w:val="32"/>
          <w:szCs w:val="32"/>
          <w:highlight w:val="none"/>
          <w:lang w:val="en-US" w:eastAsia="zh-CN"/>
        </w:rPr>
        <w:t>拓展项目招商广度深度。</w:t>
      </w:r>
      <w:r>
        <w:rPr>
          <w:rFonts w:hint="default" w:ascii="Times New Roman" w:hAnsi="Times New Roman" w:eastAsia="仿宋_GB2312" w:cs="Times New Roman"/>
          <w:color w:val="auto"/>
          <w:sz w:val="32"/>
          <w:szCs w:val="32"/>
          <w:highlight w:val="none"/>
          <w:lang w:val="en-US" w:eastAsia="zh-CN"/>
        </w:rPr>
        <w:t>紧扣“2+N”产业布局，围绕茶竹精深加工、文旅融合、生态农业等重点领域，建立精准招商目录，力争五年内累计引进亿元以上项目</w:t>
      </w:r>
      <w:r>
        <w:rPr>
          <w:rFonts w:hint="default" w:ascii="Times New Roman" w:hAnsi="Times New Roman" w:eastAsia="仿宋_GB2312" w:cs="Times New Roman"/>
          <w:color w:val="000000" w:themeColor="text1"/>
          <w:sz w:val="32"/>
          <w:szCs w:val="32"/>
          <w:highlight w:val="none"/>
          <w:lang w:val="en-US" w:eastAsia="zh-CN"/>
        </w:rPr>
        <w:t>3个</w:t>
      </w:r>
      <w:r>
        <w:rPr>
          <w:rFonts w:hint="default" w:ascii="Times New Roman" w:hAnsi="Times New Roman" w:eastAsia="仿宋_GB2312" w:cs="Times New Roman"/>
          <w:color w:val="auto"/>
          <w:sz w:val="32"/>
          <w:szCs w:val="32"/>
          <w:highlight w:val="none"/>
          <w:lang w:val="en-US" w:eastAsia="zh-CN"/>
        </w:rPr>
        <w:t>以上，形成“引进一个、带动一串、辐射一片”的集群招商效应；健全项目全生命周期服务机制，确保签约项目落地率、竣工率、投产率稳步提升。</w:t>
      </w:r>
    </w:p>
    <w:p w14:paraId="33EF15E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2"/>
          <w:sz w:val="32"/>
          <w:szCs w:val="32"/>
          <w:lang w:val="en-US" w:eastAsia="zh-CN" w:bidi="ar-SA"/>
        </w:rPr>
        <w:t>3.</w:t>
      </w:r>
      <w:r>
        <w:rPr>
          <w:rFonts w:hint="default" w:ascii="Times New Roman" w:hAnsi="Times New Roman" w:eastAsia="楷体" w:cs="Times New Roman"/>
          <w:color w:val="auto"/>
          <w:sz w:val="32"/>
          <w:szCs w:val="32"/>
          <w:highlight w:val="none"/>
          <w:lang w:val="en-US" w:eastAsia="zh-CN"/>
        </w:rPr>
        <w:t>完善全域基础设施网络。</w:t>
      </w:r>
      <w:r>
        <w:rPr>
          <w:rFonts w:hint="default" w:ascii="Times New Roman" w:hAnsi="Times New Roman" w:eastAsia="仿宋_GB2312" w:cs="Times New Roman"/>
          <w:color w:val="auto"/>
          <w:sz w:val="32"/>
          <w:szCs w:val="32"/>
          <w:highlight w:val="none"/>
          <w:lang w:val="en-US" w:eastAsia="zh-CN"/>
        </w:rPr>
        <w:t>加快构建“内畅外联、干支衔接”的现代化交通体系，推进镇域主干道升级改造与村级路网加密联通，实现与周边乡镇、重点景区快速通达；全面完善水利基础设施，高质量完成二十四溪水库等重点工程建设，构建坚实可靠的防</w:t>
      </w:r>
      <w:r>
        <w:rPr>
          <w:rFonts w:hint="eastAsia" w:ascii="Times New Roman" w:hAnsi="Times New Roman" w:eastAsia="仿宋_GB2312" w:cs="Times New Roman"/>
          <w:color w:val="auto"/>
          <w:sz w:val="32"/>
          <w:szCs w:val="32"/>
          <w:highlight w:val="none"/>
          <w:lang w:val="en-US" w:eastAsia="zh-CN"/>
        </w:rPr>
        <w:t>汛</w:t>
      </w:r>
      <w:r>
        <w:rPr>
          <w:rFonts w:hint="default" w:ascii="Times New Roman" w:hAnsi="Times New Roman" w:eastAsia="仿宋_GB2312" w:cs="Times New Roman"/>
          <w:color w:val="auto"/>
          <w:sz w:val="32"/>
          <w:szCs w:val="32"/>
          <w:highlight w:val="none"/>
          <w:lang w:val="en-US" w:eastAsia="zh-CN"/>
        </w:rPr>
        <w:t>抗旱、水资源保障双体系，为镇域长远发展筑牢硬件支撑。</w:t>
      </w:r>
      <w:r>
        <w:rPr>
          <w:rFonts w:hint="default" w:ascii="Times New Roman" w:hAnsi="Times New Roman" w:eastAsia="仿宋_GB2312" w:cs="Times New Roman"/>
          <w:color w:val="auto"/>
          <w:sz w:val="32"/>
          <w:szCs w:val="32"/>
          <w:lang w:val="en-US" w:eastAsia="zh-CN"/>
        </w:rPr>
        <w:t xml:space="preserve"> </w:t>
      </w:r>
    </w:p>
    <w:p w14:paraId="304711D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宋体" w:cs="Times New Roman"/>
          <w:color w:val="auto"/>
          <w:sz w:val="32"/>
          <w:szCs w:val="32"/>
          <w:lang w:val="en-US" w:eastAsia="zh-CN"/>
        </w:rPr>
      </w:pPr>
      <w:r>
        <w:rPr>
          <w:rFonts w:hint="default" w:ascii="Times New Roman" w:hAnsi="Times New Roman" w:eastAsia="宋体" w:cs="Times New Roman"/>
          <w:color w:val="auto"/>
          <w:sz w:val="32"/>
          <w:szCs w:val="32"/>
          <w:lang w:val="en-US" w:eastAsia="zh-CN"/>
        </w:rPr>
        <w:t xml:space="preserve">（二）培育特色产业集群，夯实共同富裕根基  </w:t>
      </w:r>
    </w:p>
    <w:p w14:paraId="1424228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立足镇域资源禀赋，推动产业从“单点突破”向“集群发展”转型，从“规模扩张”向“质效提升”跨越，</w:t>
      </w:r>
      <w:r>
        <w:rPr>
          <w:rFonts w:hint="default" w:ascii="Times New Roman" w:hAnsi="Times New Roman" w:eastAsia="仿宋_GB2312" w:cs="Times New Roman"/>
          <w:color w:val="auto"/>
          <w:sz w:val="32"/>
          <w:szCs w:val="32"/>
          <w:highlight w:val="none"/>
          <w:lang w:val="en-US" w:eastAsia="zh-CN"/>
        </w:rPr>
        <w:t>加快</w:t>
      </w:r>
      <w:r>
        <w:rPr>
          <w:rFonts w:hint="default" w:ascii="Times New Roman" w:hAnsi="Times New Roman" w:eastAsia="仿宋_GB2312" w:cs="Times New Roman"/>
          <w:color w:val="auto"/>
          <w:sz w:val="32"/>
          <w:szCs w:val="32"/>
          <w:lang w:val="en-US" w:eastAsia="zh-CN"/>
        </w:rPr>
        <w:t>构建具有双洋特色的现代化产业体系。</w:t>
      </w:r>
    </w:p>
    <w:p w14:paraId="69A77A8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 w:cs="Times New Roman"/>
          <w:color w:val="auto"/>
          <w:sz w:val="32"/>
          <w:szCs w:val="32"/>
          <w:lang w:val="en-US" w:eastAsia="zh-CN"/>
        </w:rPr>
        <w:t>1.茶产业迈向品牌化规模化。</w:t>
      </w:r>
      <w:r>
        <w:rPr>
          <w:rFonts w:hint="default" w:ascii="Times New Roman" w:hAnsi="Times New Roman" w:eastAsia="仿宋_GB2312" w:cs="Times New Roman"/>
          <w:color w:val="auto"/>
          <w:sz w:val="32"/>
          <w:szCs w:val="32"/>
          <w:highlight w:val="none"/>
          <w:lang w:val="en-US" w:eastAsia="zh-CN"/>
        </w:rPr>
        <w:t>全面推广“共富茶场”发展模式，持续高标准建设</w:t>
      </w:r>
      <w:r>
        <w:rPr>
          <w:rFonts w:hint="default" w:ascii="Times New Roman" w:hAnsi="Times New Roman" w:eastAsia="仿宋_GB2312" w:cs="Times New Roman"/>
          <w:color w:val="auto"/>
          <w:sz w:val="32"/>
          <w:szCs w:val="32"/>
          <w:lang w:val="en-US" w:eastAsia="zh-CN"/>
        </w:rPr>
        <w:t>溪口、中村现代农业产业园，培育3-5家省级以上农业产业化龙头企业；完善茶叶标准化种植、精深加工、品牌营销全链条，</w:t>
      </w:r>
      <w:r>
        <w:rPr>
          <w:rFonts w:hint="default" w:ascii="Times New Roman" w:hAnsi="Times New Roman" w:eastAsia="仿宋_GB2312" w:cs="Times New Roman"/>
          <w:color w:val="auto"/>
          <w:sz w:val="32"/>
          <w:szCs w:val="32"/>
          <w:highlight w:val="none"/>
          <w:lang w:val="en-US" w:eastAsia="zh-CN"/>
        </w:rPr>
        <w:t>着力</w:t>
      </w:r>
      <w:r>
        <w:rPr>
          <w:rFonts w:hint="default" w:ascii="Times New Roman" w:hAnsi="Times New Roman" w:eastAsia="仿宋_GB2312" w:cs="Times New Roman"/>
          <w:color w:val="auto"/>
          <w:sz w:val="32"/>
          <w:szCs w:val="32"/>
          <w:lang w:val="en-US" w:eastAsia="zh-CN"/>
        </w:rPr>
        <w:t>打造漳平水仙茶区域公共品牌，</w:t>
      </w:r>
      <w:r>
        <w:rPr>
          <w:rFonts w:hint="default" w:ascii="Times New Roman" w:hAnsi="Times New Roman" w:eastAsia="仿宋_GB2312" w:cs="Times New Roman"/>
          <w:color w:val="auto"/>
          <w:sz w:val="32"/>
          <w:szCs w:val="32"/>
          <w:highlight w:val="none"/>
          <w:lang w:val="en-US" w:eastAsia="zh-CN"/>
        </w:rPr>
        <w:t>力争</w:t>
      </w:r>
      <w:r>
        <w:rPr>
          <w:rFonts w:hint="default" w:ascii="Times New Roman" w:hAnsi="Times New Roman" w:eastAsia="仿宋_GB2312" w:cs="Times New Roman"/>
          <w:color w:val="auto"/>
          <w:sz w:val="32"/>
          <w:szCs w:val="32"/>
          <w:lang w:val="en-US" w:eastAsia="zh-CN"/>
        </w:rPr>
        <w:t xml:space="preserve">五年内茶产业总产值突破5亿元，带动农户户均年增收2万元以上。 </w:t>
      </w:r>
    </w:p>
    <w:p w14:paraId="2DEDA0F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 w:cs="Times New Roman"/>
          <w:color w:val="auto"/>
          <w:sz w:val="32"/>
          <w:szCs w:val="32"/>
          <w:lang w:val="en-US" w:eastAsia="zh-CN"/>
        </w:rPr>
        <w:t>2.竹产业实现高附加值转型。</w:t>
      </w:r>
      <w:r>
        <w:rPr>
          <w:rFonts w:hint="default" w:ascii="Times New Roman" w:hAnsi="Times New Roman" w:eastAsia="仿宋_GB2312" w:cs="Times New Roman"/>
          <w:color w:val="auto"/>
          <w:sz w:val="32"/>
          <w:szCs w:val="32"/>
          <w:lang w:val="en-US" w:eastAsia="zh-CN"/>
        </w:rPr>
        <w:t>依托5万亩竹山资源，构建“竹山基地+精深加工+综合利用”</w:t>
      </w:r>
      <w:r>
        <w:rPr>
          <w:rFonts w:hint="default" w:ascii="Times New Roman" w:hAnsi="Times New Roman" w:eastAsia="仿宋_GB2312" w:cs="Times New Roman"/>
          <w:color w:val="auto"/>
          <w:sz w:val="32"/>
          <w:szCs w:val="32"/>
          <w:highlight w:val="none"/>
          <w:lang w:val="en-US" w:eastAsia="zh-CN"/>
        </w:rPr>
        <w:t>一体化产业体系，积极</w:t>
      </w:r>
      <w:r>
        <w:rPr>
          <w:rFonts w:hint="default" w:ascii="Times New Roman" w:hAnsi="Times New Roman" w:eastAsia="仿宋_GB2312" w:cs="Times New Roman"/>
          <w:color w:val="auto"/>
          <w:sz w:val="32"/>
          <w:szCs w:val="32"/>
          <w:lang w:val="en-US" w:eastAsia="zh-CN"/>
        </w:rPr>
        <w:t>引进竹材纤维、竹制家居、竹笋食品等深加工项目，培育</w:t>
      </w:r>
      <w:r>
        <w:rPr>
          <w:rFonts w:hint="default" w:ascii="Times New Roman" w:hAnsi="Times New Roman" w:eastAsia="仿宋_GB2312" w:cs="Times New Roman"/>
          <w:color w:val="auto"/>
          <w:sz w:val="32"/>
          <w:szCs w:val="32"/>
          <w:highlight w:val="none"/>
          <w:lang w:val="en-US" w:eastAsia="zh-CN"/>
        </w:rPr>
        <w:t>发展</w:t>
      </w:r>
      <w:r>
        <w:rPr>
          <w:rFonts w:hint="default" w:ascii="Times New Roman" w:hAnsi="Times New Roman" w:eastAsia="仿宋_GB2312" w:cs="Times New Roman"/>
          <w:color w:val="auto"/>
          <w:sz w:val="32"/>
          <w:szCs w:val="32"/>
          <w:lang w:val="en-US" w:eastAsia="zh-CN"/>
        </w:rPr>
        <w:t>竹文化创意产业，推动竹产业从原料输出向“产品+服务”转型，五年内竹产业综合产值达</w:t>
      </w:r>
      <w:r>
        <w:rPr>
          <w:rFonts w:hint="default" w:ascii="Times New Roman" w:hAnsi="Times New Roman" w:eastAsia="仿宋_GB2312" w:cs="Times New Roman"/>
          <w:color w:val="000000" w:themeColor="text1"/>
          <w:sz w:val="32"/>
          <w:szCs w:val="32"/>
          <w:lang w:val="en-US" w:eastAsia="zh-CN"/>
        </w:rPr>
        <w:t>5000万</w:t>
      </w:r>
      <w:r>
        <w:rPr>
          <w:rFonts w:hint="default" w:ascii="Times New Roman" w:hAnsi="Times New Roman" w:eastAsia="仿宋_GB2312" w:cs="Times New Roman"/>
          <w:color w:val="auto"/>
          <w:sz w:val="32"/>
          <w:szCs w:val="32"/>
          <w:lang w:val="en-US" w:eastAsia="zh-CN"/>
        </w:rPr>
        <w:t xml:space="preserve">元。 </w:t>
      </w:r>
    </w:p>
    <w:p w14:paraId="2736827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 w:cs="Times New Roman"/>
          <w:color w:val="auto"/>
          <w:sz w:val="32"/>
          <w:szCs w:val="32"/>
          <w:lang w:val="en-US" w:eastAsia="zh-CN"/>
        </w:rPr>
        <w:t>3.文旅产业打造融合示范带。</w:t>
      </w:r>
      <w:r>
        <w:rPr>
          <w:rFonts w:hint="default" w:ascii="Times New Roman" w:hAnsi="Times New Roman" w:eastAsia="仿宋_GB2312" w:cs="Times New Roman"/>
          <w:color w:val="auto"/>
          <w:sz w:val="32"/>
          <w:szCs w:val="32"/>
          <w:lang w:val="en-US" w:eastAsia="zh-CN"/>
        </w:rPr>
        <w:t>深度整合历史文化、红色资源、生态景观</w:t>
      </w:r>
      <w:r>
        <w:rPr>
          <w:rFonts w:hint="default" w:ascii="Times New Roman" w:hAnsi="Times New Roman" w:eastAsia="仿宋_GB2312" w:cs="Times New Roman"/>
          <w:color w:val="auto"/>
          <w:sz w:val="32"/>
          <w:szCs w:val="32"/>
          <w:highlight w:val="none"/>
          <w:lang w:val="en-US" w:eastAsia="zh-CN"/>
        </w:rPr>
        <w:t>等优质要素</w:t>
      </w:r>
      <w:r>
        <w:rPr>
          <w:rFonts w:hint="default" w:ascii="Times New Roman" w:hAnsi="Times New Roman" w:eastAsia="仿宋_GB2312" w:cs="Times New Roman"/>
          <w:color w:val="auto"/>
          <w:sz w:val="32"/>
          <w:szCs w:val="32"/>
          <w:lang w:val="en-US" w:eastAsia="zh-CN"/>
        </w:rPr>
        <w:t>，构建“古城文化体验区、山水生态休闲区、红色教育研学区”三大</w:t>
      </w:r>
      <w:r>
        <w:rPr>
          <w:rFonts w:hint="default" w:ascii="Times New Roman" w:hAnsi="Times New Roman" w:eastAsia="仿宋_GB2312" w:cs="Times New Roman"/>
          <w:color w:val="auto"/>
          <w:sz w:val="32"/>
          <w:szCs w:val="32"/>
          <w:highlight w:val="none"/>
          <w:lang w:val="en-US" w:eastAsia="zh-CN"/>
        </w:rPr>
        <w:t>功能</w:t>
      </w:r>
      <w:r>
        <w:rPr>
          <w:rFonts w:hint="default" w:ascii="Times New Roman" w:hAnsi="Times New Roman" w:eastAsia="仿宋_GB2312" w:cs="Times New Roman"/>
          <w:color w:val="auto"/>
          <w:sz w:val="32"/>
          <w:szCs w:val="32"/>
          <w:lang w:val="en-US" w:eastAsia="zh-CN"/>
        </w:rPr>
        <w:t>板块，建成省级以上写生基地、研学基地，</w:t>
      </w:r>
      <w:r>
        <w:rPr>
          <w:rFonts w:hint="default" w:ascii="Times New Roman" w:hAnsi="Times New Roman" w:eastAsia="仿宋_GB2312" w:cs="Times New Roman"/>
          <w:color w:val="auto"/>
          <w:sz w:val="32"/>
          <w:szCs w:val="32"/>
          <w:highlight w:val="none"/>
          <w:lang w:val="en-US" w:eastAsia="zh-CN"/>
        </w:rPr>
        <w:t>精心</w:t>
      </w:r>
      <w:r>
        <w:rPr>
          <w:rFonts w:hint="default" w:ascii="Times New Roman" w:hAnsi="Times New Roman" w:eastAsia="仿宋_GB2312" w:cs="Times New Roman"/>
          <w:color w:val="auto"/>
          <w:sz w:val="32"/>
          <w:szCs w:val="32"/>
          <w:lang w:val="en-US" w:eastAsia="zh-CN"/>
        </w:rPr>
        <w:t>打造3-5条精品文旅线路；培育</w:t>
      </w:r>
      <w:r>
        <w:rPr>
          <w:rFonts w:hint="default" w:ascii="Times New Roman" w:hAnsi="Times New Roman" w:eastAsia="仿宋_GB2312" w:cs="Times New Roman"/>
          <w:color w:val="auto"/>
          <w:sz w:val="32"/>
          <w:szCs w:val="32"/>
          <w:highlight w:val="none"/>
          <w:lang w:val="en-US" w:eastAsia="zh-CN"/>
        </w:rPr>
        <w:t>壮大</w:t>
      </w:r>
      <w:r>
        <w:rPr>
          <w:rFonts w:hint="default" w:ascii="Times New Roman" w:hAnsi="Times New Roman" w:eastAsia="仿宋_GB2312" w:cs="Times New Roman"/>
          <w:color w:val="auto"/>
          <w:sz w:val="32"/>
          <w:szCs w:val="32"/>
          <w:lang w:val="en-US" w:eastAsia="zh-CN"/>
        </w:rPr>
        <w:t>民宿集群、特色餐饮、文创产品等业态，</w:t>
      </w:r>
      <w:r>
        <w:rPr>
          <w:rFonts w:hint="default" w:ascii="Times New Roman" w:hAnsi="Times New Roman" w:eastAsia="仿宋_GB2312" w:cs="Times New Roman"/>
          <w:color w:val="auto"/>
          <w:sz w:val="32"/>
          <w:szCs w:val="32"/>
          <w:highlight w:val="none"/>
          <w:lang w:val="en-US" w:eastAsia="zh-CN"/>
        </w:rPr>
        <w:t>实现</w:t>
      </w:r>
      <w:r>
        <w:rPr>
          <w:rFonts w:hint="default" w:ascii="Times New Roman" w:hAnsi="Times New Roman" w:eastAsia="仿宋_GB2312" w:cs="Times New Roman"/>
          <w:color w:val="000000" w:themeColor="text1"/>
          <w:sz w:val="32"/>
          <w:szCs w:val="32"/>
          <w:lang w:val="en-US" w:eastAsia="zh-CN"/>
        </w:rPr>
        <w:t>文旅产业年接待游客量突破5000人次，综合收入超200万元。</w:t>
      </w:r>
      <w:r>
        <w:rPr>
          <w:rFonts w:hint="default" w:ascii="Times New Roman" w:hAnsi="Times New Roman" w:eastAsia="仿宋_GB2312" w:cs="Times New Roman"/>
          <w:color w:val="auto"/>
          <w:sz w:val="32"/>
          <w:szCs w:val="32"/>
          <w:lang w:val="en-US" w:eastAsia="zh-CN"/>
        </w:rPr>
        <w:t xml:space="preserve"> </w:t>
      </w:r>
    </w:p>
    <w:p w14:paraId="2365BDC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 w:cs="Times New Roman"/>
          <w:color w:val="auto"/>
          <w:sz w:val="32"/>
          <w:szCs w:val="32"/>
          <w:lang w:val="en-US" w:eastAsia="zh-CN"/>
        </w:rPr>
        <w:t>4.传统农业提质增效。</w:t>
      </w:r>
      <w:r>
        <w:rPr>
          <w:rFonts w:hint="default" w:ascii="Times New Roman" w:hAnsi="Times New Roman" w:eastAsia="仿宋_GB2312" w:cs="Times New Roman"/>
          <w:color w:val="auto"/>
          <w:sz w:val="32"/>
          <w:szCs w:val="32"/>
          <w:lang w:val="en-US" w:eastAsia="zh-CN"/>
        </w:rPr>
        <w:t>稳定粮食播种面积，建成高标准农田1万亩以上，培育优质稻、烤烟、百香果等特色农产品品牌；</w:t>
      </w:r>
      <w:r>
        <w:rPr>
          <w:rFonts w:hint="default" w:ascii="Times New Roman" w:hAnsi="Times New Roman" w:eastAsia="仿宋_GB2312" w:cs="Times New Roman"/>
          <w:color w:val="auto"/>
          <w:sz w:val="32"/>
          <w:szCs w:val="32"/>
          <w:highlight w:val="none"/>
          <w:lang w:val="en-US" w:eastAsia="zh-CN"/>
        </w:rPr>
        <w:t>大力发展农产品精深加工，完善仓储物流体系，推动传统农业与电商、文旅深度融合，持续提升农业综合效益。</w:t>
      </w:r>
    </w:p>
    <w:p w14:paraId="5216D5A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宋体" w:cs="Times New Roman"/>
          <w:color w:val="auto"/>
          <w:sz w:val="32"/>
          <w:szCs w:val="32"/>
          <w:lang w:val="en-US" w:eastAsia="zh-CN"/>
        </w:rPr>
      </w:pPr>
      <w:r>
        <w:rPr>
          <w:rFonts w:hint="default" w:ascii="Times New Roman" w:hAnsi="Times New Roman" w:eastAsia="宋体" w:cs="Times New Roman"/>
          <w:color w:val="auto"/>
          <w:sz w:val="32"/>
          <w:szCs w:val="32"/>
          <w:lang w:val="en-US" w:eastAsia="zh-CN"/>
        </w:rPr>
        <w:t xml:space="preserve">（三）推进城乡融合纵深发展，塑造美丽宜居样板 </w:t>
      </w:r>
    </w:p>
    <w:p w14:paraId="23C677C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统筹兼顾保护与发展、城镇与乡村，</w:t>
      </w:r>
      <w:r>
        <w:rPr>
          <w:rFonts w:hint="default" w:ascii="Times New Roman" w:hAnsi="Times New Roman" w:eastAsia="仿宋_GB2312" w:cs="Times New Roman"/>
          <w:color w:val="auto"/>
          <w:sz w:val="32"/>
          <w:szCs w:val="32"/>
          <w:highlight w:val="none"/>
          <w:lang w:val="en-US" w:eastAsia="zh-CN"/>
        </w:rPr>
        <w:t>加快</w:t>
      </w:r>
      <w:r>
        <w:rPr>
          <w:rFonts w:hint="default" w:ascii="Times New Roman" w:hAnsi="Times New Roman" w:eastAsia="仿宋_GB2312" w:cs="Times New Roman"/>
          <w:color w:val="auto"/>
          <w:sz w:val="32"/>
          <w:szCs w:val="32"/>
          <w:lang w:val="en-US" w:eastAsia="zh-CN"/>
        </w:rPr>
        <w:t>构建“古韵彰显、生态优美、功能完善、城乡一体”的空间</w:t>
      </w:r>
      <w:r>
        <w:rPr>
          <w:rFonts w:hint="default" w:ascii="Times New Roman" w:hAnsi="Times New Roman" w:eastAsia="仿宋_GB2312" w:cs="Times New Roman"/>
          <w:color w:val="auto"/>
          <w:sz w:val="32"/>
          <w:szCs w:val="32"/>
          <w:highlight w:val="none"/>
          <w:lang w:val="en-US" w:eastAsia="zh-CN"/>
        </w:rPr>
        <w:t>发展</w:t>
      </w:r>
      <w:r>
        <w:rPr>
          <w:rFonts w:hint="default" w:ascii="Times New Roman" w:hAnsi="Times New Roman" w:eastAsia="仿宋_GB2312" w:cs="Times New Roman"/>
          <w:color w:val="auto"/>
          <w:sz w:val="32"/>
          <w:szCs w:val="32"/>
          <w:lang w:val="en-US" w:eastAsia="zh-CN"/>
        </w:rPr>
        <w:t>格局。</w:t>
      </w:r>
    </w:p>
    <w:p w14:paraId="03C0CB2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 w:cs="Times New Roman"/>
          <w:color w:val="auto"/>
          <w:sz w:val="32"/>
          <w:szCs w:val="32"/>
          <w:lang w:val="en-US" w:eastAsia="zh-CN"/>
        </w:rPr>
        <w:t xml:space="preserve"> 1.优化城乡空间布局。</w:t>
      </w:r>
      <w:r>
        <w:rPr>
          <w:rFonts w:hint="default" w:ascii="Times New Roman" w:hAnsi="Times New Roman" w:eastAsia="仿宋_GB2312" w:cs="Times New Roman"/>
          <w:color w:val="auto"/>
          <w:sz w:val="32"/>
          <w:szCs w:val="32"/>
          <w:lang w:val="en-US" w:eastAsia="zh-CN"/>
        </w:rPr>
        <w:t>严格落实历史文化名镇保护规划，</w:t>
      </w:r>
      <w:r>
        <w:rPr>
          <w:rFonts w:hint="default" w:ascii="Times New Roman" w:hAnsi="Times New Roman" w:eastAsia="仿宋_GB2312" w:cs="Times New Roman"/>
          <w:color w:val="auto"/>
          <w:sz w:val="32"/>
          <w:szCs w:val="32"/>
          <w:highlight w:val="none"/>
          <w:lang w:val="en-US" w:eastAsia="zh-CN"/>
        </w:rPr>
        <w:t>科学划定保护红线与发展边界，推动古城核心区活化利用与新区有序建设；稳步推进集镇提质扩容，完善各类配套设施，提升公</w:t>
      </w:r>
      <w:r>
        <w:rPr>
          <w:rFonts w:hint="default" w:ascii="Times New Roman" w:hAnsi="Times New Roman" w:eastAsia="仿宋_GB2312" w:cs="Times New Roman"/>
          <w:color w:val="auto"/>
          <w:sz w:val="32"/>
          <w:szCs w:val="32"/>
          <w:lang w:val="en-US" w:eastAsia="zh-CN"/>
        </w:rPr>
        <w:t>共服务承载力，打造“宜居宜业宜游”的中心集镇。</w:t>
      </w:r>
    </w:p>
    <w:p w14:paraId="4873ECC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 w:cs="Times New Roman"/>
          <w:color w:val="auto"/>
          <w:sz w:val="32"/>
          <w:szCs w:val="32"/>
          <w:lang w:val="en-US" w:eastAsia="zh-CN"/>
        </w:rPr>
        <w:t xml:space="preserve"> 2.深化生态保护与治理。</w:t>
      </w:r>
      <w:r>
        <w:rPr>
          <w:rFonts w:hint="default" w:ascii="Times New Roman" w:hAnsi="Times New Roman" w:eastAsia="仿宋_GB2312" w:cs="Times New Roman"/>
          <w:color w:val="auto"/>
          <w:sz w:val="32"/>
          <w:szCs w:val="32"/>
          <w:lang w:val="en-US" w:eastAsia="zh-CN"/>
        </w:rPr>
        <w:t>持续打好蓝天、碧水、净土保卫战，建立生态保护长效机制，确保流域水质稳定保持Ⅱ类以上，森林覆盖率稳定在75%以上；推进松材线虫病等林业有害生物常态化防控，实施山体修复、河道整治等生态工程，筑牢闽西生态屏障。</w:t>
      </w:r>
    </w:p>
    <w:p w14:paraId="23ED563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 w:cs="Times New Roman"/>
          <w:color w:val="auto"/>
          <w:sz w:val="32"/>
          <w:szCs w:val="32"/>
          <w:lang w:val="en-US" w:eastAsia="zh-CN"/>
        </w:rPr>
        <w:t xml:space="preserve"> 3.推动乡村全面振兴。</w:t>
      </w:r>
      <w:r>
        <w:rPr>
          <w:rFonts w:hint="default" w:ascii="Times New Roman" w:hAnsi="Times New Roman" w:eastAsia="仿宋_GB2312" w:cs="Times New Roman"/>
          <w:color w:val="auto"/>
          <w:sz w:val="32"/>
          <w:szCs w:val="32"/>
          <w:highlight w:val="none"/>
          <w:lang w:val="en-US" w:eastAsia="zh-CN"/>
        </w:rPr>
        <w:t>深入实施村庄分类培育工程，重点打造一批产业强村、生态美村、文化名村；大力发展规模化庭院经济，形成“一村一景、一村一业”的特色发展格局</w:t>
      </w:r>
      <w:r>
        <w:rPr>
          <w:rFonts w:hint="default" w:ascii="Times New Roman" w:hAnsi="Times New Roman" w:eastAsia="仿宋_GB2312" w:cs="Times New Roman"/>
          <w:color w:val="auto"/>
          <w:sz w:val="32"/>
          <w:szCs w:val="32"/>
          <w:lang w:val="en-US" w:eastAsia="zh-CN"/>
        </w:rPr>
        <w:t xml:space="preserve">；推进农村生活垃圾、污水治理市场化、常态化，实现城乡环卫服务一体化，持续改善农村人居环境。 </w:t>
      </w:r>
    </w:p>
    <w:p w14:paraId="6342701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宋体" w:cs="Times New Roman"/>
          <w:color w:val="auto"/>
          <w:sz w:val="32"/>
          <w:szCs w:val="32"/>
          <w:lang w:val="en-US" w:eastAsia="zh-CN"/>
        </w:rPr>
      </w:pPr>
      <w:r>
        <w:rPr>
          <w:rFonts w:hint="default" w:ascii="Times New Roman" w:hAnsi="Times New Roman" w:eastAsia="宋体" w:cs="Times New Roman"/>
          <w:color w:val="auto"/>
          <w:sz w:val="32"/>
          <w:szCs w:val="32"/>
          <w:lang w:val="en-US" w:eastAsia="zh-CN"/>
        </w:rPr>
        <w:t xml:space="preserve"> （四）健全公共服务体系，共享高质量发展成果 </w:t>
      </w:r>
    </w:p>
    <w:p w14:paraId="7787877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坚持以人民为中心</w:t>
      </w:r>
      <w:r>
        <w:rPr>
          <w:rFonts w:hint="default" w:ascii="Times New Roman" w:hAnsi="Times New Roman" w:eastAsia="仿宋_GB2312" w:cs="Times New Roman"/>
          <w:color w:val="auto"/>
          <w:sz w:val="32"/>
          <w:szCs w:val="32"/>
          <w:highlight w:val="none"/>
          <w:lang w:val="en-US" w:eastAsia="zh-CN"/>
        </w:rPr>
        <w:t>的发展思想</w:t>
      </w:r>
      <w:r>
        <w:rPr>
          <w:rFonts w:hint="default" w:ascii="Times New Roman" w:hAnsi="Times New Roman" w:eastAsia="仿宋_GB2312" w:cs="Times New Roman"/>
          <w:color w:val="auto"/>
          <w:sz w:val="32"/>
          <w:szCs w:val="32"/>
          <w:lang w:val="en-US" w:eastAsia="zh-CN"/>
        </w:rPr>
        <w:t xml:space="preserve">，推动公共服务从“补齐短板”向“均等化、高品质”转型，不断提升群众幸福感、获得感、安全感。 </w:t>
      </w:r>
    </w:p>
    <w:p w14:paraId="22A6373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2"/>
          <w:sz w:val="32"/>
          <w:szCs w:val="32"/>
          <w:lang w:val="en-US" w:eastAsia="zh-CN" w:bidi="ar-SA"/>
        </w:rPr>
        <w:t>1.</w:t>
      </w:r>
      <w:r>
        <w:rPr>
          <w:rFonts w:hint="default" w:ascii="Times New Roman" w:hAnsi="Times New Roman" w:eastAsia="楷体" w:cs="Times New Roman"/>
          <w:color w:val="auto"/>
          <w:sz w:val="32"/>
          <w:szCs w:val="32"/>
          <w:lang w:val="en-US" w:eastAsia="zh-CN"/>
        </w:rPr>
        <w:t>完善社会保障网络。</w:t>
      </w:r>
      <w:r>
        <w:rPr>
          <w:rFonts w:hint="default" w:ascii="Times New Roman" w:hAnsi="Times New Roman" w:eastAsia="仿宋_GB2312" w:cs="Times New Roman"/>
          <w:color w:val="auto"/>
          <w:sz w:val="32"/>
          <w:szCs w:val="32"/>
          <w:lang w:val="en-US" w:eastAsia="zh-CN"/>
        </w:rPr>
        <w:t>健全分层分类的社会救助体系，实现低保、特困供养、临时救助等应保尽保；扩大养老、医疗、失业等社会保险覆盖面，推进村级养老服务设施全覆盖，</w:t>
      </w:r>
      <w:r>
        <w:rPr>
          <w:rFonts w:hint="default" w:ascii="Times New Roman" w:hAnsi="Times New Roman" w:eastAsia="仿宋_GB2312" w:cs="Times New Roman"/>
          <w:color w:val="auto"/>
          <w:sz w:val="32"/>
          <w:szCs w:val="32"/>
          <w:highlight w:val="none"/>
          <w:lang w:val="en-US" w:eastAsia="zh-CN"/>
        </w:rPr>
        <w:t>积极</w:t>
      </w:r>
      <w:r>
        <w:rPr>
          <w:rFonts w:hint="default" w:ascii="Times New Roman" w:hAnsi="Times New Roman" w:eastAsia="仿宋_GB2312" w:cs="Times New Roman"/>
          <w:color w:val="auto"/>
          <w:sz w:val="32"/>
          <w:szCs w:val="32"/>
          <w:lang w:val="en-US" w:eastAsia="zh-CN"/>
        </w:rPr>
        <w:t xml:space="preserve">发展互助养老、智慧养老等多元模式，真正实现“老有所养、老有所医、老有所乐”。 </w:t>
      </w:r>
    </w:p>
    <w:p w14:paraId="454E9E4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kern w:val="2"/>
          <w:sz w:val="32"/>
          <w:szCs w:val="32"/>
          <w:lang w:val="en-US" w:eastAsia="zh-CN" w:bidi="ar-SA"/>
        </w:rPr>
        <w:t>2.</w:t>
      </w:r>
      <w:r>
        <w:rPr>
          <w:rFonts w:hint="default" w:ascii="Times New Roman" w:hAnsi="Times New Roman" w:eastAsia="楷体_GB2312" w:cs="Times New Roman"/>
          <w:bCs/>
          <w:color w:val="auto"/>
          <w:sz w:val="32"/>
          <w:szCs w:val="32"/>
          <w:lang w:val="en-US" w:eastAsia="zh-CN"/>
        </w:rPr>
        <w:t>提升公共服务质量。</w:t>
      </w:r>
      <w:r>
        <w:rPr>
          <w:rFonts w:hint="default" w:ascii="Times New Roman" w:hAnsi="Times New Roman" w:eastAsia="仿宋_GB2312" w:cs="Times New Roman"/>
          <w:color w:val="auto"/>
          <w:sz w:val="32"/>
          <w:szCs w:val="32"/>
          <w:lang w:val="en-US" w:eastAsia="zh-CN"/>
        </w:rPr>
        <w:t>推进教育优质均衡发展，</w:t>
      </w:r>
      <w:r>
        <w:rPr>
          <w:rFonts w:hint="default" w:ascii="Times New Roman" w:hAnsi="Times New Roman" w:eastAsia="仿宋_GB2312" w:cs="Times New Roman"/>
          <w:color w:val="auto"/>
          <w:sz w:val="32"/>
          <w:szCs w:val="32"/>
          <w:highlight w:val="none"/>
          <w:lang w:val="en-US" w:eastAsia="zh-CN"/>
        </w:rPr>
        <w:t xml:space="preserve">持续改善中小学、幼儿园办学条件，加强师资队伍建设，着力打造乡镇教育示范品牌；深化“健康双洋”建设，支持配合镇卫生院升级诊疗能力，完善村级卫生室配套，构建覆盖镇村的完善医疗服务体系；高标准建成漳平市宁洋体育活动中心等公共设施，丰富群众精神文化生活。 </w:t>
      </w:r>
    </w:p>
    <w:p w14:paraId="5CDC212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2"/>
          <w:sz w:val="32"/>
          <w:szCs w:val="32"/>
          <w:lang w:val="en-US" w:eastAsia="zh-CN" w:bidi="ar-SA"/>
        </w:rPr>
        <w:t>3.</w:t>
      </w:r>
      <w:r>
        <w:rPr>
          <w:rFonts w:hint="default" w:ascii="Times New Roman" w:hAnsi="Times New Roman" w:eastAsia="楷体_GB2312" w:cs="Times New Roman"/>
          <w:bCs/>
          <w:color w:val="auto"/>
          <w:sz w:val="32"/>
          <w:szCs w:val="32"/>
          <w:lang w:val="en-US" w:eastAsia="zh-CN"/>
        </w:rPr>
        <w:t>促进就业扩容提质。</w:t>
      </w:r>
      <w:r>
        <w:rPr>
          <w:rFonts w:hint="default" w:ascii="Times New Roman" w:hAnsi="Times New Roman" w:eastAsia="仿宋_GB2312" w:cs="Times New Roman"/>
          <w:color w:val="auto"/>
          <w:sz w:val="32"/>
          <w:szCs w:val="32"/>
          <w:lang w:val="en-US" w:eastAsia="zh-CN"/>
        </w:rPr>
        <w:t>依托产业发展和项目建设，开发就业岗位300个以上，开展职业技能培训1000人次以上；健全劳务协作机制，促进劳动力就近就业、稳定就业，推动群众收入持续增长。</w:t>
      </w:r>
    </w:p>
    <w:p w14:paraId="5CDD959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宋体" w:cs="Times New Roman"/>
          <w:color w:val="auto"/>
          <w:sz w:val="32"/>
          <w:szCs w:val="32"/>
          <w:lang w:val="en-US" w:eastAsia="zh-CN"/>
        </w:rPr>
      </w:pPr>
      <w:r>
        <w:rPr>
          <w:rFonts w:hint="default" w:ascii="Times New Roman" w:hAnsi="Times New Roman" w:eastAsia="宋体" w:cs="Times New Roman"/>
          <w:color w:val="auto"/>
          <w:sz w:val="32"/>
          <w:szCs w:val="32"/>
          <w:lang w:val="en-US" w:eastAsia="zh-CN"/>
        </w:rPr>
        <w:t xml:space="preserve">（五）深化治理体系现代化，筑牢和谐稳定根基 </w:t>
      </w:r>
    </w:p>
    <w:p w14:paraId="4756C6E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统筹发展和安全，构建“法治引领、科技支撑、多元协同、共建共享”的基层治理体系。 </w:t>
      </w:r>
    </w:p>
    <w:p w14:paraId="7F2374B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kern w:val="2"/>
          <w:sz w:val="32"/>
          <w:szCs w:val="32"/>
          <w:lang w:val="en-US" w:eastAsia="zh-CN" w:bidi="ar-SA"/>
        </w:rPr>
        <w:t>1.</w:t>
      </w:r>
      <w:r>
        <w:rPr>
          <w:rFonts w:hint="default" w:ascii="Times New Roman" w:hAnsi="Times New Roman" w:eastAsia="楷体" w:cs="Times New Roman"/>
          <w:color w:val="auto"/>
          <w:sz w:val="32"/>
          <w:szCs w:val="32"/>
          <w:lang w:val="en-US" w:eastAsia="zh-CN"/>
        </w:rPr>
        <w:t>强化安全生产长效监管。</w:t>
      </w:r>
      <w:r>
        <w:rPr>
          <w:rFonts w:hint="default" w:ascii="Times New Roman" w:hAnsi="Times New Roman" w:eastAsia="仿宋_GB2312" w:cs="Times New Roman"/>
          <w:color w:val="auto"/>
          <w:sz w:val="32"/>
          <w:szCs w:val="32"/>
          <w:lang w:val="en-US" w:eastAsia="zh-CN"/>
        </w:rPr>
        <w:t>建立健全安全生产责任体系，聚焦建筑、工矿、消防、交通运输等重点领域，实施常态化隐患排查与智能</w:t>
      </w:r>
      <w:r>
        <w:rPr>
          <w:rFonts w:hint="default" w:ascii="Times New Roman" w:hAnsi="Times New Roman" w:eastAsia="仿宋_GB2312" w:cs="Times New Roman"/>
          <w:color w:val="auto"/>
          <w:sz w:val="32"/>
          <w:szCs w:val="32"/>
          <w:highlight w:val="none"/>
          <w:lang w:val="en-US" w:eastAsia="zh-CN"/>
        </w:rPr>
        <w:t xml:space="preserve">化监管，坚决防范遏制重特大安全事故发生；不断完善应急救援体系，全面提升防灾减灾救灾能力。 </w:t>
      </w:r>
    </w:p>
    <w:p w14:paraId="61EAAF5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 w:cs="Times New Roman"/>
          <w:color w:val="auto"/>
          <w:sz w:val="32"/>
          <w:szCs w:val="32"/>
          <w:highlight w:val="none"/>
          <w:lang w:val="en-US" w:eastAsia="zh-CN"/>
        </w:rPr>
        <w:t>2.提升社会治理效能。</w:t>
      </w:r>
      <w:r>
        <w:rPr>
          <w:rFonts w:hint="default" w:ascii="Times New Roman" w:hAnsi="Times New Roman" w:eastAsia="仿宋_GB2312" w:cs="Times New Roman"/>
          <w:color w:val="auto"/>
          <w:sz w:val="32"/>
          <w:szCs w:val="32"/>
          <w:highlight w:val="none"/>
          <w:lang w:val="en-US" w:eastAsia="zh-CN"/>
        </w:rPr>
        <w:t xml:space="preserve">常态化推进扫黑除恶、反诈禁毒工作，始终保持对违法犯罪的高压态势；健全“党建+网格+信息化”治理模式，完善多元矛盾纠纷化解体系，畅通群众诉求表达渠道，实现“小事不出村、大事不出镇、矛盾不上交”。 </w:t>
      </w:r>
    </w:p>
    <w:p w14:paraId="471B8DC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 w:cs="Times New Roman"/>
          <w:color w:val="auto"/>
          <w:sz w:val="32"/>
          <w:szCs w:val="32"/>
          <w:highlight w:val="none"/>
          <w:lang w:val="en-US" w:eastAsia="zh-CN"/>
        </w:rPr>
        <w:t>3.推进法治双洋建设。</w:t>
      </w:r>
      <w:r>
        <w:rPr>
          <w:rFonts w:hint="default" w:ascii="Times New Roman" w:hAnsi="Times New Roman" w:eastAsia="仿宋_GB2312" w:cs="Times New Roman"/>
          <w:color w:val="auto"/>
          <w:sz w:val="32"/>
          <w:szCs w:val="32"/>
          <w:highlight w:val="none"/>
          <w:lang w:val="en-US" w:eastAsia="zh-CN"/>
        </w:rPr>
        <w:t>加大普法宣传教育力度，培育壮大“法律明白人”队伍，推动法治观念深入人心；严格规范行政执法行为，完善政务公开制度，持续提升政府依法行政水平；加强综治中心标准化建设，推进治理手段智能化升级，提升基层治理精细化水平。</w:t>
      </w:r>
    </w:p>
    <w:p w14:paraId="3BD6036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三、2026年工作计划——攻坚突破开新局，实干担当</w:t>
      </w:r>
    </w:p>
    <w:p w14:paraId="7707E31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2026年是“十五五”规划开局之年，我们将聚焦“稳增长、促转型、惠民生、保稳定”，重点抓好五方面工作：</w:t>
      </w:r>
    </w:p>
    <w:p w14:paraId="6BC5F4F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宋体" w:cs="Times New Roman"/>
          <w:color w:val="auto"/>
          <w:sz w:val="32"/>
          <w:szCs w:val="32"/>
          <w:highlight w:val="none"/>
          <w:lang w:val="en-US" w:eastAsia="zh-CN"/>
        </w:rPr>
      </w:pPr>
      <w:r>
        <w:rPr>
          <w:rFonts w:hint="default" w:ascii="Times New Roman" w:hAnsi="Times New Roman" w:eastAsia="宋体" w:cs="Times New Roman"/>
          <w:color w:val="auto"/>
          <w:sz w:val="32"/>
          <w:szCs w:val="32"/>
          <w:highlight w:val="none"/>
          <w:lang w:val="en-US" w:eastAsia="zh-CN"/>
        </w:rPr>
        <w:t>（一）全力保障重大项目落地，打造区域发展新引擎</w:t>
      </w:r>
    </w:p>
    <w:p w14:paraId="5F50AB2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以漳平抽水蓄能电站为核心，构建“项目带动、产业配套、全域融合”的发展格局。</w:t>
      </w:r>
    </w:p>
    <w:p w14:paraId="1784DC5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bCs/>
          <w:color w:val="auto"/>
          <w:sz w:val="32"/>
          <w:szCs w:val="32"/>
          <w:lang w:val="en-US" w:eastAsia="zh-CN"/>
        </w:rPr>
        <w:t>1.攻坚抽蓄项目建设。</w:t>
      </w:r>
      <w:r>
        <w:rPr>
          <w:rFonts w:hint="default" w:ascii="Times New Roman" w:hAnsi="Times New Roman" w:eastAsia="仿宋_GB2312" w:cs="Times New Roman"/>
          <w:color w:val="auto"/>
          <w:sz w:val="32"/>
          <w:szCs w:val="32"/>
          <w:highlight w:val="none"/>
          <w:lang w:val="en-US" w:eastAsia="zh-CN"/>
        </w:rPr>
        <w:t>全面完成中村村移民安置及新村建设项目（</w:t>
      </w:r>
      <w:r>
        <w:rPr>
          <w:rFonts w:hint="default" w:ascii="Times New Roman" w:hAnsi="Times New Roman" w:eastAsia="楷体_GB2312" w:cs="Times New Roman"/>
          <w:bCs/>
          <w:color w:val="auto"/>
          <w:sz w:val="32"/>
          <w:szCs w:val="32"/>
          <w:lang w:val="en-US" w:eastAsia="zh-CN"/>
        </w:rPr>
        <w:t>目前已完成项目可行性研究报告编制、备案及设计方案编制，正在进行用地报批工作</w:t>
      </w:r>
      <w:r>
        <w:rPr>
          <w:rFonts w:hint="default" w:ascii="Times New Roman" w:hAnsi="Times New Roman" w:eastAsia="仿宋_GB2312" w:cs="Times New Roman"/>
          <w:color w:val="auto"/>
          <w:sz w:val="32"/>
          <w:szCs w:val="32"/>
          <w:highlight w:val="none"/>
          <w:lang w:val="en-US" w:eastAsia="zh-CN"/>
        </w:rPr>
        <w:t xml:space="preserve">）、进场道路拓宽等重点配套工程，推动项目全面建设；同步谋划生态修复与旅游开发，打通中村至溪口大会自然村“山水画廊”旅游公路，带动沿线茶产业、文旅业协同发展。 </w:t>
      </w:r>
    </w:p>
    <w:p w14:paraId="42836D4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bCs/>
          <w:color w:val="auto"/>
          <w:sz w:val="32"/>
          <w:szCs w:val="32"/>
          <w:lang w:val="en-US" w:eastAsia="zh-CN"/>
        </w:rPr>
        <w:t>2.推进产业项目扩能。</w:t>
      </w:r>
      <w:r>
        <w:rPr>
          <w:rFonts w:hint="default" w:ascii="Times New Roman" w:hAnsi="Times New Roman" w:eastAsia="仿宋_GB2312" w:cs="Times New Roman"/>
          <w:color w:val="auto"/>
          <w:sz w:val="32"/>
          <w:szCs w:val="32"/>
          <w:highlight w:val="none"/>
          <w:lang w:val="en-US" w:eastAsia="zh-CN"/>
        </w:rPr>
        <w:t>支持浩源玄武岩矿扩产至65万立方米/年（</w:t>
      </w:r>
      <w:r>
        <w:rPr>
          <w:rFonts w:hint="default" w:ascii="Times New Roman" w:hAnsi="Times New Roman" w:eastAsia="楷体_GB2312" w:cs="Times New Roman"/>
          <w:sz w:val="32"/>
          <w:szCs w:val="32"/>
          <w:lang w:val="en-US" w:eastAsia="zh-CN"/>
        </w:rPr>
        <w:t>200万吨/年</w:t>
      </w:r>
      <w:r>
        <w:rPr>
          <w:rFonts w:hint="default" w:ascii="Times New Roman" w:hAnsi="Times New Roman" w:eastAsia="仿宋_GB2312" w:cs="Times New Roman"/>
          <w:color w:val="auto"/>
          <w:sz w:val="32"/>
          <w:szCs w:val="32"/>
          <w:highlight w:val="none"/>
          <w:lang w:val="en-US" w:eastAsia="zh-CN"/>
        </w:rPr>
        <w:t xml:space="preserve">），推动漳平和鼎海工承压木项目达产达效；培育茶竹深加工企业，延伸产业链，着力打造“双洋制造”特色品牌。 </w:t>
      </w:r>
    </w:p>
    <w:p w14:paraId="4AFDD3F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 w:cs="Times New Roman"/>
          <w:color w:val="auto"/>
          <w:sz w:val="32"/>
          <w:szCs w:val="32"/>
          <w:highlight w:val="none"/>
          <w:lang w:val="en-US" w:eastAsia="zh-CN"/>
        </w:rPr>
        <w:t>3.完善基础设施网络。</w:t>
      </w:r>
      <w:r>
        <w:rPr>
          <w:rFonts w:hint="default" w:ascii="Times New Roman" w:hAnsi="Times New Roman" w:eastAsia="仿宋_GB2312" w:cs="Times New Roman"/>
          <w:color w:val="auto"/>
          <w:sz w:val="32"/>
          <w:szCs w:val="32"/>
          <w:highlight w:val="none"/>
          <w:lang w:val="en-US" w:eastAsia="zh-CN"/>
        </w:rPr>
        <w:t>争取溪口村大会上洋至溪口桥头道路纳入地方一般债支持范围，推进双洋镇C016大会段线养护工程、中村到大会林业防火应急道路建设；谋划争取漳平双洋镇城外村石坑至岩坑道路提升工程（</w:t>
      </w:r>
      <w:r>
        <w:rPr>
          <w:rFonts w:hint="default" w:ascii="Times New Roman" w:hAnsi="Times New Roman" w:eastAsia="楷体_GB2312" w:cs="Times New Roman"/>
          <w:bCs/>
          <w:color w:val="auto"/>
          <w:sz w:val="32"/>
          <w:szCs w:val="32"/>
          <w:lang w:val="en-US" w:eastAsia="zh-CN"/>
        </w:rPr>
        <w:t>以工代赈专项资金项目</w:t>
      </w:r>
      <w:r>
        <w:rPr>
          <w:rFonts w:hint="default" w:ascii="Times New Roman" w:hAnsi="Times New Roman" w:eastAsia="仿宋_GB2312" w:cs="Times New Roman"/>
          <w:color w:val="auto"/>
          <w:sz w:val="32"/>
          <w:szCs w:val="32"/>
          <w:highlight w:val="none"/>
          <w:lang w:val="en-US" w:eastAsia="zh-CN"/>
        </w:rPr>
        <w:t>）；稳步推进二十四溪水库项目建设工作，与</w:t>
      </w:r>
      <w:r>
        <w:rPr>
          <w:rFonts w:hint="eastAsia"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lang w:val="en-US" w:eastAsia="zh-CN"/>
        </w:rPr>
        <w:t xml:space="preserve">水利局配合谋划双洋镇重点区域排涝治理项目，加快构建“内畅外联”的现代化交通水利体系。 </w:t>
      </w:r>
    </w:p>
    <w:p w14:paraId="0F39314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 w:cs="Times New Roman"/>
          <w:color w:val="auto"/>
          <w:sz w:val="32"/>
          <w:szCs w:val="32"/>
          <w:highlight w:val="none"/>
          <w:lang w:val="en-US" w:eastAsia="zh-CN"/>
        </w:rPr>
        <w:t>4.强化经济指标攻坚。</w:t>
      </w:r>
      <w:r>
        <w:rPr>
          <w:rFonts w:hint="default" w:ascii="Times New Roman" w:hAnsi="Times New Roman" w:eastAsia="仿宋_GB2312" w:cs="Times New Roman"/>
          <w:color w:val="auto"/>
          <w:sz w:val="32"/>
          <w:szCs w:val="32"/>
          <w:highlight w:val="none"/>
          <w:lang w:val="en-US" w:eastAsia="zh-CN"/>
        </w:rPr>
        <w:t>力争培育“四上”企业4家；实现规上工业总产值5.5亿元，固定资产投资8.8亿元，工业投资3.2亿元；签约项目4个，开工项目3个，竣工项目2个，为“十五五”规划开篇奠定坚实基础。</w:t>
      </w:r>
    </w:p>
    <w:p w14:paraId="7F696C1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宋体" w:cs="Times New Roman"/>
          <w:color w:val="auto"/>
          <w:sz w:val="32"/>
          <w:szCs w:val="32"/>
          <w:highlight w:val="none"/>
          <w:lang w:val="en-US" w:eastAsia="zh-CN"/>
        </w:rPr>
      </w:pPr>
      <w:r>
        <w:rPr>
          <w:rFonts w:hint="default" w:ascii="Times New Roman" w:hAnsi="Times New Roman" w:eastAsia="宋体" w:cs="Times New Roman"/>
          <w:color w:val="auto"/>
          <w:sz w:val="32"/>
          <w:szCs w:val="32"/>
          <w:highlight w:val="none"/>
          <w:lang w:val="en-US" w:eastAsia="zh-CN"/>
        </w:rPr>
        <w:t xml:space="preserve">（二）构建特色现代化产业体系，激活乡村共富新动能 </w:t>
      </w:r>
    </w:p>
    <w:p w14:paraId="48348BA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 xml:space="preserve">立足资源禀赋，推动“茶、竹、文旅”三大产业提质升级，积极探索革命老区共同富裕“双洋实践”。 </w:t>
      </w:r>
    </w:p>
    <w:p w14:paraId="0D0B723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kern w:val="2"/>
          <w:sz w:val="32"/>
          <w:szCs w:val="32"/>
          <w:lang w:val="en-US" w:eastAsia="zh-CN" w:bidi="ar-SA"/>
        </w:rPr>
        <w:t>1.</w:t>
      </w:r>
      <w:r>
        <w:rPr>
          <w:rFonts w:hint="default" w:ascii="Times New Roman" w:hAnsi="Times New Roman" w:eastAsia="楷体_GB2312" w:cs="Times New Roman"/>
          <w:bCs/>
          <w:color w:val="auto"/>
          <w:sz w:val="32"/>
          <w:szCs w:val="32"/>
          <w:lang w:val="en-US" w:eastAsia="zh-CN"/>
        </w:rPr>
        <w:t>做优茶产业。</w:t>
      </w:r>
      <w:r>
        <w:rPr>
          <w:rFonts w:hint="default" w:ascii="Times New Roman" w:hAnsi="Times New Roman" w:eastAsia="仿宋_GB2312" w:cs="Times New Roman"/>
          <w:color w:val="auto"/>
          <w:sz w:val="32"/>
          <w:szCs w:val="32"/>
          <w:highlight w:val="none"/>
          <w:lang w:val="en-US" w:eastAsia="zh-CN"/>
        </w:rPr>
        <w:t xml:space="preserve">深化“共富茶场”试点建设，以礼溪茶业、展德堂为龙头，构建 “企业+村集体+茶农” 利益联结机制，推广“高于市场价20%收购”模式，带动茶农户均年增收超万元；持续推进溪口、中村现代农业产业园建设，不断提升漳平水仙茶品牌影响力。 </w:t>
      </w:r>
    </w:p>
    <w:p w14:paraId="433F3D6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kern w:val="2"/>
          <w:sz w:val="32"/>
          <w:szCs w:val="32"/>
          <w:lang w:val="en-US" w:eastAsia="zh-CN" w:bidi="ar-SA"/>
        </w:rPr>
        <w:t>2.</w:t>
      </w:r>
      <w:r>
        <w:rPr>
          <w:rFonts w:hint="default" w:ascii="Times New Roman" w:hAnsi="Times New Roman" w:eastAsia="楷体_GB2312" w:cs="Times New Roman"/>
          <w:bCs/>
          <w:color w:val="auto"/>
          <w:sz w:val="32"/>
          <w:szCs w:val="32"/>
          <w:lang w:val="en-US" w:eastAsia="zh-CN"/>
        </w:rPr>
        <w:t>做强竹产业。</w:t>
      </w:r>
      <w:r>
        <w:rPr>
          <w:rFonts w:hint="default" w:ascii="Times New Roman" w:hAnsi="Times New Roman" w:eastAsia="仿宋_GB2312" w:cs="Times New Roman"/>
          <w:color w:val="auto"/>
          <w:sz w:val="32"/>
          <w:szCs w:val="32"/>
          <w:highlight w:val="none"/>
          <w:lang w:val="en-US" w:eastAsia="zh-CN"/>
        </w:rPr>
        <w:t xml:space="preserve">依托坑源、温坑5万亩竹山资源，完善竹山道路建设，支持竹林童话等竹文化企业开展技术改造，引入竹笋精深加工项目，推动竹产业从“卖原料”向“卖产品”转型。 </w:t>
      </w:r>
    </w:p>
    <w:p w14:paraId="7D7032C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kern w:val="2"/>
          <w:sz w:val="32"/>
          <w:szCs w:val="32"/>
          <w:lang w:val="en-US" w:eastAsia="zh-CN" w:bidi="ar-SA"/>
        </w:rPr>
        <w:t>3.</w:t>
      </w:r>
      <w:r>
        <w:rPr>
          <w:rFonts w:hint="default" w:ascii="Times New Roman" w:hAnsi="Times New Roman" w:eastAsia="楷体_GB2312" w:cs="Times New Roman"/>
          <w:bCs/>
          <w:color w:val="auto"/>
          <w:sz w:val="32"/>
          <w:szCs w:val="32"/>
          <w:lang w:val="en-US" w:eastAsia="zh-CN"/>
        </w:rPr>
        <w:t>做活文旅业。</w:t>
      </w:r>
      <w:r>
        <w:rPr>
          <w:rFonts w:hint="default" w:ascii="Times New Roman" w:hAnsi="Times New Roman" w:eastAsia="仿宋_GB2312" w:cs="Times New Roman"/>
          <w:color w:val="auto"/>
          <w:sz w:val="32"/>
          <w:szCs w:val="32"/>
          <w:highlight w:val="none"/>
          <w:lang w:val="en-US" w:eastAsia="zh-CN"/>
        </w:rPr>
        <w:t>深度整合“一塔二庙三戏四桥五堂”古城资源，推动文庙“敬一堂” 建设，精心打造集镇北门山形象景观；推进漳平市双洋古镇写生基地项目建设（</w:t>
      </w:r>
      <w:r>
        <w:rPr>
          <w:rFonts w:hint="default" w:ascii="Times New Roman" w:hAnsi="Times New Roman" w:eastAsia="楷体_GB2312" w:cs="Times New Roman"/>
          <w:sz w:val="32"/>
          <w:szCs w:val="32"/>
          <w:lang w:val="en-US" w:eastAsia="zh-CN"/>
        </w:rPr>
        <w:t>总投资300万，已列入2026年福建省文化产业项目库</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持续举办舞炮龙、茶旅文化节等活动，打响双洋古镇文旅品牌，着力打造兼具文化底蕴与休闲体验的特色文旅目的地。</w:t>
      </w:r>
    </w:p>
    <w:p w14:paraId="66231DD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宋体" w:cs="Times New Roman"/>
          <w:color w:val="auto"/>
          <w:sz w:val="32"/>
          <w:szCs w:val="32"/>
          <w:highlight w:val="none"/>
          <w:lang w:val="en-US" w:eastAsia="zh-CN"/>
        </w:rPr>
      </w:pPr>
      <w:r>
        <w:rPr>
          <w:rFonts w:hint="default" w:ascii="Times New Roman" w:hAnsi="Times New Roman" w:eastAsia="宋体" w:cs="Times New Roman"/>
          <w:color w:val="auto"/>
          <w:sz w:val="32"/>
          <w:szCs w:val="32"/>
          <w:highlight w:val="none"/>
          <w:lang w:val="en-US" w:eastAsia="zh-CN"/>
        </w:rPr>
        <w:t xml:space="preserve">（三）推进城乡融合与生态宜居，塑造美丽双洋新面貌 </w:t>
      </w:r>
    </w:p>
    <w:p w14:paraId="1C7EA69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统筹城乡规划与生态保护，实现“古韵双洋”与“生态双洋” 相得益彰、协同发展。</w:t>
      </w:r>
    </w:p>
    <w:p w14:paraId="37D7A8D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kern w:val="2"/>
          <w:sz w:val="32"/>
          <w:szCs w:val="32"/>
          <w:lang w:val="en-US" w:eastAsia="zh-CN" w:bidi="ar-SA"/>
        </w:rPr>
        <w:t>1.</w:t>
      </w:r>
      <w:r>
        <w:rPr>
          <w:rFonts w:hint="default" w:ascii="Times New Roman" w:hAnsi="Times New Roman" w:eastAsia="楷体_GB2312" w:cs="Times New Roman"/>
          <w:bCs/>
          <w:color w:val="auto"/>
          <w:sz w:val="32"/>
          <w:szCs w:val="32"/>
          <w:lang w:val="en-US" w:eastAsia="zh-CN"/>
        </w:rPr>
        <w:t>优化城乡空间布局。</w:t>
      </w:r>
      <w:r>
        <w:rPr>
          <w:rFonts w:hint="default" w:ascii="Times New Roman" w:hAnsi="Times New Roman" w:eastAsia="仿宋_GB2312" w:cs="Times New Roman"/>
          <w:color w:val="auto"/>
          <w:sz w:val="32"/>
          <w:szCs w:val="32"/>
          <w:highlight w:val="none"/>
          <w:lang w:val="en-US" w:eastAsia="zh-CN"/>
        </w:rPr>
        <w:t>严格对标《双洋镇历史文化名镇保护规划》要求，妥善化解核心保护区建房审批规范、建设风貌管控等突出矛盾；推进双洋镇新增耕地项目建设（</w:t>
      </w:r>
      <w:r>
        <w:rPr>
          <w:rFonts w:hint="default" w:ascii="Times New Roman" w:hAnsi="Times New Roman" w:eastAsia="楷体_GB2312" w:cs="Times New Roman"/>
          <w:sz w:val="32"/>
          <w:szCs w:val="32"/>
          <w:lang w:val="en-US" w:eastAsia="zh-CN"/>
        </w:rPr>
        <w:t>总投资150万，已完成选址</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 xml:space="preserve">全面推进农村生活垃圾收运处置、污水管网铺设及处理设施运维管护一体化建设，健全环卫工作量化考核体系，从严落实生活垃圾 “日产日清、闭环处置”、生活污水 “雨污分流、达标排放” 的管控标准。 </w:t>
      </w:r>
    </w:p>
    <w:p w14:paraId="046F5F3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kern w:val="2"/>
          <w:sz w:val="32"/>
          <w:szCs w:val="32"/>
          <w:lang w:val="en-US" w:eastAsia="zh-CN" w:bidi="ar-SA"/>
        </w:rPr>
        <w:t>2.</w:t>
      </w:r>
      <w:r>
        <w:rPr>
          <w:rFonts w:hint="default" w:ascii="Times New Roman" w:hAnsi="Times New Roman" w:eastAsia="楷体_GB2312" w:cs="Times New Roman"/>
          <w:bCs/>
          <w:color w:val="auto"/>
          <w:sz w:val="32"/>
          <w:szCs w:val="32"/>
          <w:lang w:val="en-US" w:eastAsia="zh-CN"/>
        </w:rPr>
        <w:t>深化生态保护修复。</w:t>
      </w:r>
      <w:r>
        <w:rPr>
          <w:rFonts w:hint="default" w:ascii="Times New Roman" w:hAnsi="Times New Roman" w:eastAsia="仿宋_GB2312" w:cs="Times New Roman"/>
          <w:color w:val="auto"/>
          <w:sz w:val="32"/>
          <w:szCs w:val="32"/>
          <w:highlight w:val="none"/>
          <w:lang w:val="en-US" w:eastAsia="zh-CN"/>
        </w:rPr>
        <w:t xml:space="preserve">纵深推进蓝天、碧水、净土保卫战，常态化开展小流域水质监测与断面考核，确保省控东洋村断面及青云桥等重点流域水质稳定达到Ⅱ类标准；压实松材线虫病防控责任，全面开展疫木清理、检疫检查等专项行动；高标准完成年度造林绿化、封山育林任务，稳步提升森林覆盖率与生态系统质量，持续筑牢闽西生态安全屏障。 </w:t>
      </w:r>
    </w:p>
    <w:p w14:paraId="4D10D22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kern w:val="2"/>
          <w:sz w:val="32"/>
          <w:szCs w:val="32"/>
          <w:lang w:val="en-US" w:eastAsia="zh-CN" w:bidi="ar-SA"/>
        </w:rPr>
        <w:t>3.</w:t>
      </w:r>
      <w:r>
        <w:rPr>
          <w:rFonts w:hint="default" w:ascii="Times New Roman" w:hAnsi="Times New Roman" w:eastAsia="楷体_GB2312" w:cs="Times New Roman"/>
          <w:bCs/>
          <w:color w:val="auto"/>
          <w:sz w:val="32"/>
          <w:szCs w:val="32"/>
          <w:lang w:val="en-US" w:eastAsia="zh-CN"/>
        </w:rPr>
        <w:t>培育乡村特色业态。</w:t>
      </w:r>
      <w:r>
        <w:rPr>
          <w:rFonts w:hint="default" w:ascii="Times New Roman" w:hAnsi="Times New Roman" w:eastAsia="仿宋_GB2312" w:cs="Times New Roman"/>
          <w:color w:val="auto"/>
          <w:sz w:val="32"/>
          <w:szCs w:val="32"/>
          <w:highlight w:val="none"/>
          <w:lang w:val="en-US" w:eastAsia="zh-CN"/>
        </w:rPr>
        <w:t>深化“六个共富”机制，开展和美乡村“五个美丽”建设，推进城内村 2026 年度省级乡村振兴示范村创建，实施双洋镇古民居改造及人居环境提升项目</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深化农村综合改革，稳妥推进第二轮土地承包到期后再延长30年试点工作</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依托宁洋古城文化底蕴和九鹏溪沿线资源优势，重点扶持精品民宿、农事采摘园等业态，实现生态效益与经济效益双赢。</w:t>
      </w:r>
    </w:p>
    <w:p w14:paraId="6245D2F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宋体" w:cs="Times New Roman"/>
          <w:color w:val="auto"/>
          <w:sz w:val="32"/>
          <w:szCs w:val="32"/>
          <w:highlight w:val="none"/>
          <w:lang w:val="en-US" w:eastAsia="zh-CN"/>
        </w:rPr>
      </w:pPr>
      <w:r>
        <w:rPr>
          <w:rFonts w:hint="default" w:ascii="Times New Roman" w:hAnsi="Times New Roman" w:eastAsia="宋体" w:cs="Times New Roman"/>
          <w:color w:val="auto"/>
          <w:sz w:val="32"/>
          <w:szCs w:val="32"/>
          <w:highlight w:val="none"/>
          <w:lang w:val="en-US" w:eastAsia="zh-CN"/>
        </w:rPr>
        <w:t xml:space="preserve">（四）增进民生福祉与公共服务，共享高质量发展新成果 </w:t>
      </w:r>
    </w:p>
    <w:p w14:paraId="49E8983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 xml:space="preserve">坚持以人民为中心的发展思想，着力补齐公共服务短板，持续提升群众幸福感和满意度。 </w:t>
      </w:r>
    </w:p>
    <w:p w14:paraId="29FE4FD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kern w:val="2"/>
          <w:sz w:val="32"/>
          <w:szCs w:val="32"/>
          <w:lang w:val="en-US" w:eastAsia="zh-CN" w:bidi="ar-SA"/>
        </w:rPr>
        <w:t>1.</w:t>
      </w:r>
      <w:r>
        <w:rPr>
          <w:rFonts w:hint="default" w:ascii="Times New Roman" w:hAnsi="Times New Roman" w:eastAsia="楷体_GB2312" w:cs="Times New Roman"/>
          <w:bCs/>
          <w:color w:val="auto"/>
          <w:sz w:val="32"/>
          <w:szCs w:val="32"/>
          <w:lang w:val="en-US" w:eastAsia="zh-CN"/>
        </w:rPr>
        <w:t>完善社会保障体系。</w:t>
      </w:r>
      <w:r>
        <w:rPr>
          <w:rFonts w:hint="default" w:ascii="Times New Roman" w:hAnsi="Times New Roman" w:eastAsia="仿宋_GB2312" w:cs="Times New Roman"/>
          <w:color w:val="auto"/>
          <w:sz w:val="32"/>
          <w:szCs w:val="32"/>
          <w:highlight w:val="none"/>
          <w:lang w:val="en-US" w:eastAsia="zh-CN"/>
        </w:rPr>
        <w:t xml:space="preserve">动态调整低保、特困人员名单，扩大临时救助覆盖面；加强退役军人服务保障工作，全面落实各项优抚政策；积极推动“家门口就业”，依托抽蓄项目、文旅产业开发就业岗位100余个。 </w:t>
      </w:r>
    </w:p>
    <w:p w14:paraId="45ABB48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kern w:val="2"/>
          <w:sz w:val="32"/>
          <w:szCs w:val="32"/>
          <w:lang w:val="en-US" w:eastAsia="zh-CN" w:bidi="ar-SA"/>
        </w:rPr>
        <w:t>2.</w:t>
      </w:r>
      <w:r>
        <w:rPr>
          <w:rFonts w:hint="default" w:ascii="Times New Roman" w:hAnsi="Times New Roman" w:eastAsia="楷体_GB2312" w:cs="Times New Roman"/>
          <w:bCs/>
          <w:color w:val="auto"/>
          <w:sz w:val="32"/>
          <w:szCs w:val="32"/>
          <w:lang w:val="en-US" w:eastAsia="zh-CN"/>
        </w:rPr>
        <w:t>提升公共服务水平。</w:t>
      </w:r>
      <w:r>
        <w:rPr>
          <w:rFonts w:hint="default" w:ascii="Times New Roman" w:hAnsi="Times New Roman" w:eastAsia="仿宋_GB2312" w:cs="Times New Roman"/>
          <w:color w:val="auto"/>
          <w:sz w:val="32"/>
          <w:szCs w:val="32"/>
          <w:highlight w:val="none"/>
          <w:lang w:val="en-US" w:eastAsia="zh-CN"/>
        </w:rPr>
        <w:t>完善村级文化广场、农家书屋等设施</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推进漳平市宁洋体育活动中心改造提升项目（</w:t>
      </w:r>
      <w:r>
        <w:rPr>
          <w:rFonts w:hint="default" w:ascii="Times New Roman" w:hAnsi="Times New Roman" w:eastAsia="楷体" w:cs="Times New Roman"/>
          <w:color w:val="auto"/>
          <w:sz w:val="32"/>
          <w:szCs w:val="32"/>
          <w:highlight w:val="none"/>
          <w:lang w:val="en-US" w:eastAsia="zh-CN"/>
        </w:rPr>
        <w:t>漳平首个乡镇综合性体育公园</w:t>
      </w:r>
      <w:r>
        <w:rPr>
          <w:rFonts w:hint="eastAsia" w:ascii="Times New Roman" w:hAnsi="Times New Roman" w:eastAsia="楷体" w:cs="Times New Roman"/>
          <w:color w:val="auto"/>
          <w:sz w:val="32"/>
          <w:szCs w:val="32"/>
          <w:highlight w:val="none"/>
          <w:lang w:val="en-US" w:eastAsia="zh-CN"/>
        </w:rPr>
        <w:t>，拟申报 2026 年中央专项彩票公益金，目前已完成可行性研究报告编制及漳平市发改局批复，正在进行项目用地农转用报批</w:t>
      </w:r>
      <w:r>
        <w:rPr>
          <w:rFonts w:hint="default" w:ascii="Times New Roman" w:hAnsi="Times New Roman" w:eastAsia="仿宋_GB2312" w:cs="Times New Roman"/>
          <w:color w:val="auto"/>
          <w:sz w:val="32"/>
          <w:szCs w:val="32"/>
          <w:highlight w:val="none"/>
          <w:lang w:val="en-US" w:eastAsia="zh-CN"/>
        </w:rPr>
        <w:t xml:space="preserve">）；加强教师队伍建设，提升双洋中学、中心小学教学质量；深化“健康双洋”建设，不断完善村级卫生室服务功能。 </w:t>
      </w:r>
    </w:p>
    <w:p w14:paraId="7A6C2F9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kern w:val="2"/>
          <w:sz w:val="32"/>
          <w:szCs w:val="32"/>
          <w:lang w:val="en-US" w:eastAsia="zh-CN" w:bidi="ar-SA"/>
        </w:rPr>
        <w:t>3.</w:t>
      </w:r>
      <w:r>
        <w:rPr>
          <w:rFonts w:hint="default" w:ascii="Times New Roman" w:hAnsi="Times New Roman" w:eastAsia="楷体_GB2312" w:cs="Times New Roman"/>
          <w:bCs/>
          <w:color w:val="auto"/>
          <w:sz w:val="32"/>
          <w:szCs w:val="32"/>
          <w:lang w:val="en-US" w:eastAsia="zh-CN"/>
        </w:rPr>
        <w:t>改善养老服务供给。</w:t>
      </w:r>
      <w:r>
        <w:rPr>
          <w:rFonts w:hint="default" w:ascii="Times New Roman" w:hAnsi="Times New Roman" w:eastAsia="仿宋_GB2312" w:cs="Times New Roman"/>
          <w:color w:val="auto"/>
          <w:sz w:val="32"/>
          <w:szCs w:val="32"/>
          <w:highlight w:val="none"/>
          <w:lang w:val="en-US" w:eastAsia="zh-CN"/>
        </w:rPr>
        <w:t>建设村级老人活动室（</w:t>
      </w:r>
      <w:r>
        <w:rPr>
          <w:rFonts w:hint="default" w:ascii="Times New Roman" w:hAnsi="Times New Roman" w:eastAsia="楷体_GB2312" w:cs="Times New Roman"/>
          <w:bCs/>
          <w:color w:val="auto"/>
          <w:sz w:val="32"/>
          <w:szCs w:val="32"/>
          <w:lang w:val="en-US" w:eastAsia="zh-CN"/>
        </w:rPr>
        <w:t>完成温坑村老人活动室项目</w:t>
      </w:r>
      <w:r>
        <w:rPr>
          <w:rFonts w:hint="default" w:ascii="Times New Roman" w:hAnsi="Times New Roman" w:eastAsia="仿宋_GB2312" w:cs="Times New Roman"/>
          <w:color w:val="auto"/>
          <w:sz w:val="32"/>
          <w:szCs w:val="32"/>
          <w:highlight w:val="none"/>
          <w:lang w:val="en-US" w:eastAsia="zh-CN"/>
        </w:rPr>
        <w:t>），积极推广“政府+社会组织”养老模式，扩大高龄津贴覆盖范围，让老年人真正实现 “老有所养、老有所乐”。</w:t>
      </w:r>
    </w:p>
    <w:p w14:paraId="5110DEC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宋体" w:cs="Times New Roman"/>
          <w:color w:val="auto"/>
          <w:sz w:val="32"/>
          <w:szCs w:val="32"/>
          <w:highlight w:val="none"/>
          <w:lang w:val="en-US" w:eastAsia="zh-CN"/>
        </w:rPr>
      </w:pPr>
      <w:r>
        <w:rPr>
          <w:rFonts w:hint="default" w:ascii="Times New Roman" w:hAnsi="Times New Roman" w:eastAsia="宋体" w:cs="Times New Roman"/>
          <w:color w:val="auto"/>
          <w:sz w:val="32"/>
          <w:szCs w:val="32"/>
          <w:highlight w:val="none"/>
          <w:lang w:val="en-US" w:eastAsia="zh-CN"/>
        </w:rPr>
        <w:t xml:space="preserve">（五）守牢安全底线与治理防线，筑牢和谐稳定新根基 </w:t>
      </w:r>
    </w:p>
    <w:p w14:paraId="5611B6A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 xml:space="preserve">统筹发展和安全，以“时时放心不下”的责任感，扎实防范化解各类风险隐患。 </w:t>
      </w:r>
    </w:p>
    <w:p w14:paraId="6D92757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kern w:val="2"/>
          <w:sz w:val="32"/>
          <w:szCs w:val="32"/>
          <w:lang w:val="en-US" w:eastAsia="zh-CN" w:bidi="ar-SA"/>
        </w:rPr>
        <w:t>1.</w:t>
      </w:r>
      <w:r>
        <w:rPr>
          <w:rFonts w:hint="default" w:ascii="Times New Roman" w:hAnsi="Times New Roman" w:eastAsia="楷体_GB2312" w:cs="Times New Roman"/>
          <w:bCs/>
          <w:color w:val="auto"/>
          <w:sz w:val="32"/>
          <w:szCs w:val="32"/>
          <w:lang w:val="en-US" w:eastAsia="zh-CN"/>
        </w:rPr>
        <w:t>强化安全生产监管。</w:t>
      </w:r>
      <w:r>
        <w:rPr>
          <w:rFonts w:hint="default" w:ascii="Times New Roman" w:hAnsi="Times New Roman" w:eastAsia="仿宋_GB2312" w:cs="Times New Roman"/>
          <w:color w:val="auto"/>
          <w:sz w:val="32"/>
          <w:szCs w:val="32"/>
          <w:highlight w:val="none"/>
          <w:lang w:val="en-US" w:eastAsia="zh-CN"/>
        </w:rPr>
        <w:t xml:space="preserve">深化安全生产治本攻坚三年行动，聚焦建筑、工矿、消防等重点领域，开展“拉网式”隐患排查整治，确保不发生重特大安全事故。 </w:t>
      </w:r>
    </w:p>
    <w:p w14:paraId="7D7E237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kern w:val="2"/>
          <w:sz w:val="32"/>
          <w:szCs w:val="32"/>
          <w:lang w:val="en-US" w:eastAsia="zh-CN" w:bidi="ar-SA"/>
        </w:rPr>
        <w:t>2.</w:t>
      </w:r>
      <w:r>
        <w:rPr>
          <w:rFonts w:hint="default" w:ascii="Times New Roman" w:hAnsi="Times New Roman" w:eastAsia="楷体_GB2312" w:cs="Times New Roman"/>
          <w:bCs/>
          <w:color w:val="auto"/>
          <w:sz w:val="32"/>
          <w:szCs w:val="32"/>
          <w:lang w:val="en-US" w:eastAsia="zh-CN"/>
        </w:rPr>
        <w:t>提升社会治理效能。</w:t>
      </w:r>
      <w:r>
        <w:rPr>
          <w:rFonts w:hint="default" w:ascii="Times New Roman" w:hAnsi="Times New Roman" w:eastAsia="仿宋_GB2312" w:cs="Times New Roman"/>
          <w:color w:val="auto"/>
          <w:sz w:val="32"/>
          <w:szCs w:val="32"/>
          <w:highlight w:val="none"/>
          <w:lang w:val="en-US" w:eastAsia="zh-CN"/>
        </w:rPr>
        <w:t xml:space="preserve">常态化推进扫黑除恶、反诈禁毒工作，不断完善“党建+平安”机制；加强“五失”人员、严重精神障碍患者等重点群体管控，健全多元矛盾化解体系。 </w:t>
      </w:r>
    </w:p>
    <w:p w14:paraId="057B6C9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kern w:val="2"/>
          <w:sz w:val="32"/>
          <w:szCs w:val="32"/>
          <w:lang w:val="en-US" w:eastAsia="zh-CN" w:bidi="ar-SA"/>
        </w:rPr>
        <w:t>3.</w:t>
      </w:r>
      <w:r>
        <w:rPr>
          <w:rFonts w:hint="default" w:ascii="Times New Roman" w:hAnsi="Times New Roman" w:eastAsia="楷体_GB2312" w:cs="Times New Roman"/>
          <w:bCs/>
          <w:color w:val="auto"/>
          <w:sz w:val="32"/>
          <w:szCs w:val="32"/>
          <w:lang w:val="en-US" w:eastAsia="zh-CN"/>
        </w:rPr>
        <w:t>筑牢法治建设根基。</w:t>
      </w:r>
      <w:r>
        <w:rPr>
          <w:rFonts w:hint="default" w:ascii="Times New Roman" w:hAnsi="Times New Roman" w:eastAsia="仿宋_GB2312" w:cs="Times New Roman"/>
          <w:color w:val="auto"/>
          <w:sz w:val="32"/>
          <w:szCs w:val="32"/>
          <w:highlight w:val="none"/>
          <w:lang w:val="en-US" w:eastAsia="zh-CN"/>
        </w:rPr>
        <w:t xml:space="preserve">加大普法宣传力度，培育壮大“法律明白人”队伍；规范综治中心建设，持续推进“网格化+信息化”治理模式，不断提升群众“平安三率”。 </w:t>
      </w:r>
    </w:p>
    <w:p w14:paraId="2AB5A5F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bCs/>
          <w:kern w:val="0"/>
          <w:sz w:val="32"/>
          <w:szCs w:val="32"/>
          <w:lang w:val="en-US" w:eastAsia="zh-CN"/>
        </w:rPr>
      </w:pPr>
    </w:p>
    <w:p w14:paraId="42D614B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bCs/>
          <w:kern w:val="0"/>
          <w:sz w:val="32"/>
          <w:szCs w:val="32"/>
          <w:lang w:val="en-US" w:eastAsia="zh-CN"/>
        </w:rPr>
      </w:pPr>
    </w:p>
    <w:p w14:paraId="10713FBB">
      <w:pPr>
        <w:pStyle w:val="4"/>
        <w:jc w:val="center"/>
        <w:rPr>
          <w:rFonts w:ascii="黑体" w:hAnsi="黑体" w:eastAsia="黑体"/>
          <w:sz w:val="36"/>
          <w:szCs w:val="36"/>
          <w:lang w:eastAsia="zh-CN"/>
        </w:rPr>
      </w:pPr>
    </w:p>
    <w:p w14:paraId="71AD1E6C">
      <w:pPr>
        <w:pStyle w:val="4"/>
        <w:jc w:val="center"/>
        <w:rPr>
          <w:rFonts w:ascii="黑体" w:hAnsi="黑体" w:eastAsia="黑体"/>
          <w:sz w:val="36"/>
          <w:szCs w:val="36"/>
          <w:lang w:eastAsia="zh-CN"/>
        </w:rPr>
      </w:pPr>
    </w:p>
    <w:p w14:paraId="52436018">
      <w:pPr>
        <w:pStyle w:val="4"/>
        <w:jc w:val="center"/>
        <w:rPr>
          <w:rFonts w:ascii="黑体" w:hAnsi="黑体" w:eastAsia="黑体"/>
          <w:sz w:val="36"/>
          <w:szCs w:val="36"/>
          <w:lang w:eastAsia="zh-CN"/>
        </w:rPr>
      </w:pPr>
    </w:p>
    <w:p w14:paraId="727A8C25">
      <w:pPr>
        <w:pStyle w:val="4"/>
        <w:jc w:val="center"/>
        <w:rPr>
          <w:rFonts w:ascii="黑体" w:hAnsi="黑体" w:eastAsia="黑体"/>
          <w:sz w:val="36"/>
          <w:szCs w:val="36"/>
          <w:lang w:eastAsia="zh-CN"/>
        </w:rPr>
      </w:pPr>
    </w:p>
    <w:p w14:paraId="52173AED">
      <w:pPr>
        <w:pStyle w:val="4"/>
        <w:jc w:val="center"/>
        <w:rPr>
          <w:rFonts w:ascii="黑体" w:hAnsi="黑体" w:eastAsia="黑体"/>
          <w:sz w:val="36"/>
          <w:szCs w:val="36"/>
          <w:lang w:eastAsia="zh-CN"/>
        </w:rPr>
      </w:pPr>
    </w:p>
    <w:p w14:paraId="749DB30A">
      <w:pPr>
        <w:pStyle w:val="4"/>
        <w:jc w:val="center"/>
        <w:rPr>
          <w:rFonts w:ascii="黑体" w:hAnsi="黑体" w:eastAsia="黑体"/>
          <w:sz w:val="36"/>
          <w:szCs w:val="36"/>
          <w:lang w:eastAsia="zh-CN"/>
        </w:rPr>
      </w:pPr>
    </w:p>
    <w:p w14:paraId="4515BBC8">
      <w:pPr>
        <w:pStyle w:val="4"/>
        <w:jc w:val="center"/>
        <w:rPr>
          <w:rFonts w:ascii="黑体" w:hAnsi="黑体" w:eastAsia="黑体"/>
          <w:sz w:val="36"/>
          <w:szCs w:val="36"/>
          <w:lang w:eastAsia="zh-CN"/>
        </w:rPr>
      </w:pPr>
    </w:p>
    <w:p w14:paraId="0420FB22">
      <w:pPr>
        <w:pStyle w:val="4"/>
        <w:rPr>
          <w:rFonts w:hint="eastAsia" w:ascii="黑体" w:hAnsi="黑体" w:eastAsia="黑体"/>
          <w:sz w:val="56"/>
          <w:szCs w:val="36"/>
          <w:lang w:eastAsia="zh-CN"/>
        </w:rPr>
      </w:pPr>
    </w:p>
    <w:p w14:paraId="7102484D">
      <w:pPr>
        <w:pStyle w:val="4"/>
        <w:rPr>
          <w:rFonts w:hint="eastAsia" w:ascii="黑体" w:hAnsi="黑体" w:eastAsia="黑体"/>
          <w:sz w:val="56"/>
          <w:szCs w:val="36"/>
          <w:lang w:eastAsia="zh-CN"/>
        </w:rPr>
      </w:pPr>
    </w:p>
    <w:p w14:paraId="6CC5B61F">
      <w:pPr>
        <w:pStyle w:val="4"/>
        <w:rPr>
          <w:rFonts w:hint="eastAsia" w:ascii="黑体" w:hAnsi="黑体" w:eastAsia="黑体"/>
          <w:sz w:val="56"/>
          <w:szCs w:val="36"/>
          <w:lang w:eastAsia="zh-CN"/>
        </w:rPr>
      </w:pPr>
    </w:p>
    <w:p w14:paraId="389BEE6B">
      <w:pPr>
        <w:pStyle w:val="4"/>
        <w:rPr>
          <w:rFonts w:hint="eastAsia" w:ascii="黑体" w:hAnsi="黑体" w:eastAsia="黑体"/>
          <w:sz w:val="56"/>
          <w:szCs w:val="36"/>
          <w:lang w:eastAsia="zh-CN"/>
        </w:rPr>
      </w:pPr>
    </w:p>
    <w:p w14:paraId="24F52045">
      <w:pPr>
        <w:pStyle w:val="4"/>
        <w:rPr>
          <w:rFonts w:hint="eastAsia" w:ascii="黑体" w:hAnsi="黑体" w:eastAsia="黑体"/>
          <w:sz w:val="56"/>
          <w:szCs w:val="36"/>
          <w:lang w:eastAsia="zh-CN"/>
        </w:rPr>
      </w:pPr>
    </w:p>
    <w:p w14:paraId="606C709D">
      <w:pPr>
        <w:pStyle w:val="4"/>
        <w:rPr>
          <w:rFonts w:hint="eastAsia" w:ascii="黑体" w:hAnsi="黑体" w:eastAsia="黑体"/>
          <w:sz w:val="56"/>
          <w:szCs w:val="36"/>
          <w:lang w:eastAsia="zh-CN"/>
        </w:rPr>
      </w:pPr>
    </w:p>
    <w:p w14:paraId="3EEA1A35">
      <w:pPr>
        <w:pStyle w:val="4"/>
        <w:rPr>
          <w:rFonts w:ascii="黑体" w:hAnsi="黑体" w:eastAsia="黑体"/>
          <w:sz w:val="56"/>
          <w:szCs w:val="36"/>
          <w:lang w:eastAsia="zh-CN"/>
        </w:rPr>
      </w:pPr>
      <w:r>
        <w:rPr>
          <w:rFonts w:hint="eastAsia" w:ascii="黑体" w:hAnsi="黑体" w:eastAsia="黑体"/>
          <w:sz w:val="56"/>
          <w:szCs w:val="36"/>
          <w:lang w:eastAsia="zh-CN"/>
        </w:rPr>
        <w:t>第二部分</w:t>
      </w:r>
    </w:p>
    <w:p w14:paraId="59BEEC44">
      <w:pPr>
        <w:pStyle w:val="4"/>
        <w:jc w:val="center"/>
        <w:rPr>
          <w:rFonts w:ascii="黑体" w:hAnsi="黑体" w:eastAsia="黑体"/>
          <w:sz w:val="56"/>
          <w:szCs w:val="36"/>
          <w:lang w:eastAsia="zh-CN"/>
        </w:rPr>
      </w:pPr>
      <w:r>
        <w:rPr>
          <w:rFonts w:hint="eastAsia" w:ascii="黑体" w:hAnsi="黑体" w:eastAsia="黑体"/>
          <w:sz w:val="56"/>
          <w:szCs w:val="36"/>
          <w:lang w:val="en-US" w:eastAsia="zh-CN"/>
        </w:rPr>
        <w:t>2026</w:t>
      </w:r>
      <w:r>
        <w:rPr>
          <w:rFonts w:hint="eastAsia" w:ascii="黑体" w:hAnsi="黑体" w:eastAsia="黑体"/>
          <w:sz w:val="56"/>
          <w:szCs w:val="36"/>
          <w:lang w:eastAsia="zh-CN"/>
        </w:rPr>
        <w:t>年度部门预算表</w:t>
      </w:r>
    </w:p>
    <w:p w14:paraId="720A1667">
      <w:pPr>
        <w:tabs>
          <w:tab w:val="left" w:pos="7513"/>
        </w:tabs>
        <w:adjustRightInd w:val="0"/>
        <w:snapToGrid w:val="0"/>
        <w:spacing w:line="600" w:lineRule="exact"/>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3F4958D1">
      <w:pPr>
        <w:tabs>
          <w:tab w:val="left" w:pos="7513"/>
        </w:tabs>
        <w:adjustRightInd w:val="0"/>
        <w:snapToGrid w:val="0"/>
        <w:spacing w:line="600" w:lineRule="exact"/>
        <w:rPr>
          <w:rFonts w:ascii="楷体" w:hAnsi="楷体" w:eastAsia="楷体"/>
          <w:sz w:val="28"/>
          <w:szCs w:val="28"/>
        </w:rPr>
      </w:pPr>
      <w:r>
        <w:rPr>
          <w:rFonts w:hint="eastAsia" w:ascii="黑体" w:hAnsi="黑体" w:eastAsia="黑体"/>
          <w:sz w:val="32"/>
          <w:szCs w:val="32"/>
        </w:rPr>
        <w:t>一、收支预算总表</w:t>
      </w:r>
    </w:p>
    <w:tbl>
      <w:tblPr>
        <w:tblStyle w:val="11"/>
        <w:tblW w:w="8789" w:type="dxa"/>
        <w:tblInd w:w="-34" w:type="dxa"/>
        <w:tblLayout w:type="autofit"/>
        <w:tblCellMar>
          <w:top w:w="0" w:type="dxa"/>
          <w:left w:w="108" w:type="dxa"/>
          <w:bottom w:w="0" w:type="dxa"/>
          <w:right w:w="108" w:type="dxa"/>
        </w:tblCellMar>
      </w:tblPr>
      <w:tblGrid>
        <w:gridCol w:w="2977"/>
        <w:gridCol w:w="1276"/>
        <w:gridCol w:w="3260"/>
        <w:gridCol w:w="1386"/>
      </w:tblGrid>
      <w:tr w14:paraId="775F89DE">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78F4F068">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年度收支预算总表</w:t>
            </w:r>
          </w:p>
        </w:tc>
      </w:tr>
      <w:tr w14:paraId="7F9EA0DC">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0D7F09E5">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2B99BFBA">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B732D5C">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4927F4C2">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支出</w:t>
            </w:r>
          </w:p>
        </w:tc>
      </w:tr>
      <w:tr w14:paraId="44529B0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FA67FE9">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54B4BD46">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29BF258F">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0E0FAD35">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预算数</w:t>
            </w:r>
          </w:p>
        </w:tc>
      </w:tr>
      <w:tr w14:paraId="16A6D54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1B2438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0931E09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lang w:val="en-US" w:eastAsia="zh-CN"/>
              </w:rPr>
              <w:t>712.55</w:t>
            </w: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58ECC00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64E7017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538.37　</w:t>
            </w:r>
          </w:p>
        </w:tc>
      </w:tr>
      <w:tr w14:paraId="22A3B8F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0E9D0F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6D6135C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67BC21C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2519599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5C2CA8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B8D98D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3C25A43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207595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12368240">
            <w:pPr>
              <w:widowControl/>
              <w:spacing w:line="240" w:lineRule="auto"/>
              <w:jc w:val="right"/>
              <w:rPr>
                <w:rFonts w:ascii="宋体" w:hAnsi="宋体" w:eastAsia="宋体" w:cs="宋体"/>
                <w:kern w:val="0"/>
                <w:sz w:val="18"/>
                <w:szCs w:val="18"/>
              </w:rPr>
            </w:pPr>
          </w:p>
        </w:tc>
      </w:tr>
      <w:tr w14:paraId="172A343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75E09D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13B5BF0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1B4D7C3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58EB69B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66FE22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13E93B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15BD640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564CE61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6038A29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8DF56F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3C2C8C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6AFF68D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5EBF9B9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18328A1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4EC1D9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62CCA9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0DD11FE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89C398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29390A8D">
            <w:pPr>
              <w:widowControl/>
              <w:spacing w:line="240" w:lineRule="auto"/>
              <w:jc w:val="right"/>
              <w:rPr>
                <w:rFonts w:ascii="宋体" w:hAnsi="宋体" w:eastAsia="宋体" w:cs="宋体"/>
                <w:kern w:val="0"/>
                <w:sz w:val="18"/>
                <w:szCs w:val="18"/>
              </w:rPr>
            </w:pPr>
          </w:p>
        </w:tc>
      </w:tr>
      <w:tr w14:paraId="2A27C34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AC09C0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642EBF2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A849B8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6D68AC9D">
            <w:pPr>
              <w:widowControl/>
              <w:spacing w:line="240" w:lineRule="auto"/>
              <w:jc w:val="right"/>
              <w:rPr>
                <w:rFonts w:ascii="宋体" w:hAnsi="宋体" w:eastAsia="宋体" w:cs="宋体"/>
                <w:kern w:val="0"/>
                <w:sz w:val="18"/>
                <w:szCs w:val="18"/>
              </w:rPr>
            </w:pPr>
          </w:p>
        </w:tc>
      </w:tr>
      <w:tr w14:paraId="7B54CD5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9E7F66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07E69FBB">
            <w:pPr>
              <w:widowControl/>
              <w:spacing w:line="240" w:lineRule="auto"/>
              <w:jc w:val="right"/>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250</w:t>
            </w:r>
          </w:p>
        </w:tc>
        <w:tc>
          <w:tcPr>
            <w:tcW w:w="3260" w:type="dxa"/>
            <w:tcBorders>
              <w:top w:val="nil"/>
              <w:left w:val="nil"/>
              <w:bottom w:val="single" w:color="auto" w:sz="4" w:space="0"/>
              <w:right w:val="single" w:color="auto" w:sz="4" w:space="0"/>
            </w:tcBorders>
            <w:shd w:val="clear" w:color="auto" w:fill="auto"/>
            <w:noWrap/>
            <w:vAlign w:val="center"/>
          </w:tcPr>
          <w:p w14:paraId="21E05D8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1103E786">
            <w:pPr>
              <w:widowControl/>
              <w:spacing w:line="240" w:lineRule="auto"/>
              <w:jc w:val="right"/>
              <w:rPr>
                <w:rFonts w:ascii="宋体" w:hAnsi="宋体" w:eastAsia="宋体" w:cs="宋体"/>
                <w:kern w:val="0"/>
                <w:sz w:val="18"/>
                <w:szCs w:val="18"/>
              </w:rPr>
            </w:pPr>
          </w:p>
        </w:tc>
      </w:tr>
      <w:tr w14:paraId="384C92A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2244A6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3D75A51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9570F1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3E0D616E">
            <w:pPr>
              <w:widowControl/>
              <w:spacing w:line="240" w:lineRule="auto"/>
              <w:jc w:val="right"/>
              <w:rPr>
                <w:rFonts w:ascii="宋体" w:hAnsi="宋体" w:eastAsia="宋体" w:cs="宋体"/>
                <w:kern w:val="0"/>
                <w:sz w:val="18"/>
                <w:szCs w:val="18"/>
              </w:rPr>
            </w:pPr>
          </w:p>
        </w:tc>
      </w:tr>
      <w:tr w14:paraId="5C22489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74151E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C857F3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61814F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5D50FA34">
            <w:pPr>
              <w:widowControl/>
              <w:spacing w:line="240" w:lineRule="auto"/>
              <w:jc w:val="right"/>
              <w:rPr>
                <w:rFonts w:ascii="宋体" w:hAnsi="宋体" w:eastAsia="宋体" w:cs="宋体"/>
                <w:kern w:val="0"/>
                <w:sz w:val="18"/>
                <w:szCs w:val="18"/>
              </w:rPr>
            </w:pPr>
          </w:p>
        </w:tc>
      </w:tr>
      <w:tr w14:paraId="2C6DBA8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DA44A7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F53E86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615055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094895B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385.03</w:t>
            </w:r>
          </w:p>
        </w:tc>
      </w:tr>
      <w:tr w14:paraId="341B4DD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FAE208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A99F1D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BE7037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33A679C3">
            <w:pPr>
              <w:widowControl/>
              <w:spacing w:line="240" w:lineRule="auto"/>
              <w:jc w:val="right"/>
              <w:rPr>
                <w:rFonts w:ascii="宋体" w:hAnsi="宋体" w:eastAsia="宋体" w:cs="宋体"/>
                <w:kern w:val="0"/>
                <w:sz w:val="18"/>
                <w:szCs w:val="18"/>
              </w:rPr>
            </w:pPr>
          </w:p>
        </w:tc>
      </w:tr>
      <w:tr w14:paraId="2F72CDD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7E457B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4B7981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96856E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1F2D451A">
            <w:pPr>
              <w:widowControl/>
              <w:spacing w:line="240" w:lineRule="auto"/>
              <w:jc w:val="right"/>
              <w:rPr>
                <w:rFonts w:ascii="宋体" w:hAnsi="宋体" w:eastAsia="宋体" w:cs="宋体"/>
                <w:kern w:val="0"/>
                <w:sz w:val="18"/>
                <w:szCs w:val="18"/>
              </w:rPr>
            </w:pPr>
          </w:p>
        </w:tc>
      </w:tr>
      <w:tr w14:paraId="5BF2A44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F0131D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33568B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491335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4F3BEBC8">
            <w:pPr>
              <w:widowControl/>
              <w:spacing w:line="240" w:lineRule="auto"/>
              <w:jc w:val="right"/>
              <w:rPr>
                <w:rFonts w:ascii="宋体" w:hAnsi="宋体" w:eastAsia="宋体" w:cs="宋体"/>
                <w:kern w:val="0"/>
                <w:sz w:val="18"/>
                <w:szCs w:val="18"/>
              </w:rPr>
            </w:pPr>
          </w:p>
        </w:tc>
      </w:tr>
      <w:tr w14:paraId="5EEFC77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0A6E08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180965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3CC78B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591A5A81">
            <w:pPr>
              <w:widowControl/>
              <w:spacing w:line="240" w:lineRule="auto"/>
              <w:jc w:val="right"/>
              <w:rPr>
                <w:rFonts w:ascii="宋体" w:hAnsi="宋体" w:eastAsia="宋体" w:cs="宋体"/>
                <w:kern w:val="0"/>
                <w:sz w:val="18"/>
                <w:szCs w:val="18"/>
              </w:rPr>
            </w:pPr>
          </w:p>
        </w:tc>
      </w:tr>
      <w:tr w14:paraId="1C03F8F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9FE915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E259E6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3FA7AE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3B7A5D92">
            <w:pPr>
              <w:widowControl/>
              <w:spacing w:line="240" w:lineRule="auto"/>
              <w:jc w:val="right"/>
              <w:rPr>
                <w:rFonts w:ascii="宋体" w:hAnsi="宋体" w:eastAsia="宋体" w:cs="宋体"/>
                <w:kern w:val="0"/>
                <w:sz w:val="18"/>
                <w:szCs w:val="18"/>
              </w:rPr>
            </w:pPr>
          </w:p>
        </w:tc>
      </w:tr>
      <w:tr w14:paraId="1433ED2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3832BF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087E4B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9CB1B2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799836B0">
            <w:pPr>
              <w:widowControl/>
              <w:spacing w:line="240" w:lineRule="auto"/>
              <w:jc w:val="right"/>
              <w:rPr>
                <w:rFonts w:ascii="宋体" w:hAnsi="宋体" w:eastAsia="宋体" w:cs="宋体"/>
                <w:kern w:val="0"/>
                <w:sz w:val="18"/>
                <w:szCs w:val="18"/>
              </w:rPr>
            </w:pPr>
          </w:p>
        </w:tc>
      </w:tr>
      <w:tr w14:paraId="0D934707">
        <w:tblPrEx>
          <w:tblCellMar>
            <w:top w:w="0" w:type="dxa"/>
            <w:left w:w="108" w:type="dxa"/>
            <w:bottom w:w="0" w:type="dxa"/>
            <w:right w:w="108" w:type="dxa"/>
          </w:tblCellMar>
        </w:tblPrEx>
        <w:trPr>
          <w:trHeight w:val="90"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C34268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6E7C81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BC6EDA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4EFC3BC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39.15</w:t>
            </w:r>
          </w:p>
        </w:tc>
      </w:tr>
      <w:tr w14:paraId="7A9D69B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77AB7E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E81A51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F9B3E4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3A0E92EB">
            <w:pPr>
              <w:widowControl/>
              <w:spacing w:line="240" w:lineRule="auto"/>
              <w:jc w:val="right"/>
              <w:rPr>
                <w:rFonts w:ascii="宋体" w:hAnsi="宋体" w:eastAsia="宋体" w:cs="宋体"/>
                <w:kern w:val="0"/>
                <w:sz w:val="18"/>
                <w:szCs w:val="18"/>
              </w:rPr>
            </w:pPr>
          </w:p>
        </w:tc>
      </w:tr>
      <w:tr w14:paraId="13469AC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D7A90D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F5D5AD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7475C7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4BD6CD51">
            <w:pPr>
              <w:widowControl/>
              <w:spacing w:line="240" w:lineRule="auto"/>
              <w:jc w:val="right"/>
              <w:rPr>
                <w:rFonts w:ascii="宋体" w:hAnsi="宋体" w:eastAsia="宋体" w:cs="宋体"/>
                <w:kern w:val="0"/>
                <w:sz w:val="18"/>
                <w:szCs w:val="18"/>
              </w:rPr>
            </w:pPr>
          </w:p>
        </w:tc>
      </w:tr>
      <w:tr w14:paraId="56627FD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738E59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723FB1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FE3511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6FF7D784">
            <w:pPr>
              <w:widowControl/>
              <w:spacing w:line="240" w:lineRule="auto"/>
              <w:jc w:val="right"/>
              <w:rPr>
                <w:rFonts w:ascii="宋体" w:hAnsi="宋体" w:eastAsia="宋体" w:cs="宋体"/>
                <w:kern w:val="0"/>
                <w:sz w:val="18"/>
                <w:szCs w:val="18"/>
              </w:rPr>
            </w:pPr>
          </w:p>
        </w:tc>
      </w:tr>
      <w:tr w14:paraId="1CBAE5B0">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945599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891AF4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8A6C84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0D973815">
            <w:pPr>
              <w:widowControl/>
              <w:spacing w:line="240" w:lineRule="auto"/>
              <w:jc w:val="right"/>
              <w:rPr>
                <w:rFonts w:hint="default" w:ascii="宋体" w:hAnsi="宋体" w:eastAsia="宋体" w:cs="宋体"/>
                <w:kern w:val="0"/>
                <w:sz w:val="18"/>
                <w:szCs w:val="18"/>
                <w:lang w:val="en-US" w:eastAsia="zh-CN"/>
              </w:rPr>
            </w:pPr>
          </w:p>
        </w:tc>
      </w:tr>
      <w:tr w14:paraId="2ECCD4A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DFA3D2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980C38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B95EBE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71CB33B3">
            <w:pPr>
              <w:widowControl/>
              <w:spacing w:line="240" w:lineRule="auto"/>
              <w:jc w:val="right"/>
              <w:rPr>
                <w:rFonts w:ascii="宋体" w:hAnsi="宋体" w:eastAsia="宋体" w:cs="宋体"/>
                <w:kern w:val="0"/>
                <w:sz w:val="18"/>
                <w:szCs w:val="18"/>
              </w:rPr>
            </w:pPr>
          </w:p>
        </w:tc>
      </w:tr>
      <w:tr w14:paraId="00AFE9B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07F0B6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7C8A52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96B99B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302B33BC">
            <w:pPr>
              <w:widowControl/>
              <w:spacing w:line="240" w:lineRule="auto"/>
              <w:jc w:val="right"/>
              <w:rPr>
                <w:rFonts w:ascii="宋体" w:hAnsi="宋体" w:eastAsia="宋体" w:cs="宋体"/>
                <w:kern w:val="0"/>
                <w:sz w:val="18"/>
                <w:szCs w:val="18"/>
              </w:rPr>
            </w:pPr>
          </w:p>
        </w:tc>
      </w:tr>
      <w:tr w14:paraId="18E8699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2137EC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6208B3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73A442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0121ECA7">
            <w:pPr>
              <w:widowControl/>
              <w:spacing w:line="240" w:lineRule="auto"/>
              <w:jc w:val="right"/>
              <w:rPr>
                <w:rFonts w:ascii="宋体" w:hAnsi="宋体" w:eastAsia="宋体" w:cs="宋体"/>
                <w:kern w:val="0"/>
                <w:sz w:val="18"/>
                <w:szCs w:val="18"/>
              </w:rPr>
            </w:pPr>
          </w:p>
        </w:tc>
      </w:tr>
      <w:tr w14:paraId="5E2DDB7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2455CE6">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7C878FEA">
            <w:pPr>
              <w:widowControl/>
              <w:spacing w:line="240" w:lineRule="auto"/>
              <w:jc w:val="right"/>
              <w:rPr>
                <w:rFonts w:ascii="宋体" w:hAnsi="宋体" w:eastAsia="宋体" w:cs="宋体"/>
                <w:b/>
                <w:kern w:val="0"/>
                <w:sz w:val="22"/>
              </w:rPr>
            </w:pPr>
            <w:r>
              <w:rPr>
                <w:rFonts w:hint="eastAsia" w:ascii="宋体" w:hAnsi="宋体" w:eastAsia="宋体" w:cs="宋体"/>
                <w:kern w:val="0"/>
                <w:sz w:val="18"/>
                <w:szCs w:val="18"/>
              </w:rPr>
              <w:t>962.55</w:t>
            </w:r>
            <w:r>
              <w:rPr>
                <w:rFonts w:hint="eastAsia" w:ascii="宋体" w:hAnsi="宋体" w:eastAsia="宋体" w:cs="宋体"/>
                <w:b/>
                <w:kern w:val="0"/>
                <w:sz w:val="22"/>
              </w:rPr>
              <w:t>　</w:t>
            </w:r>
          </w:p>
        </w:tc>
        <w:tc>
          <w:tcPr>
            <w:tcW w:w="3260" w:type="dxa"/>
            <w:tcBorders>
              <w:top w:val="nil"/>
              <w:left w:val="nil"/>
              <w:bottom w:val="single" w:color="auto" w:sz="4" w:space="0"/>
              <w:right w:val="single" w:color="auto" w:sz="4" w:space="0"/>
            </w:tcBorders>
            <w:shd w:val="clear" w:color="auto" w:fill="auto"/>
            <w:noWrap/>
            <w:vAlign w:val="center"/>
          </w:tcPr>
          <w:p w14:paraId="0719479C">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450E1E7E">
            <w:pPr>
              <w:widowControl/>
              <w:tabs>
                <w:tab w:val="left" w:pos="586"/>
                <w:tab w:val="right" w:pos="1400"/>
              </w:tabs>
              <w:spacing w:line="240" w:lineRule="auto"/>
              <w:ind w:firstLine="540" w:firstLineChars="300"/>
              <w:jc w:val="left"/>
              <w:rPr>
                <w:rFonts w:ascii="宋体" w:hAnsi="宋体" w:eastAsia="宋体" w:cs="宋体"/>
                <w:b/>
                <w:kern w:val="0"/>
                <w:sz w:val="22"/>
              </w:rPr>
            </w:pPr>
            <w:r>
              <w:rPr>
                <w:rFonts w:hint="eastAsia" w:ascii="宋体" w:hAnsi="宋体" w:eastAsia="宋体" w:cs="宋体"/>
                <w:kern w:val="0"/>
                <w:sz w:val="18"/>
                <w:szCs w:val="18"/>
                <w:lang w:eastAsia="zh-CN"/>
              </w:rPr>
              <w:t>962.55</w:t>
            </w:r>
            <w:r>
              <w:rPr>
                <w:rFonts w:hint="eastAsia" w:ascii="宋体" w:hAnsi="宋体" w:eastAsia="宋体" w:cs="宋体"/>
                <w:b/>
                <w:kern w:val="0"/>
                <w:sz w:val="22"/>
                <w:lang w:eastAsia="zh-CN"/>
              </w:rPr>
              <w:tab/>
            </w:r>
            <w:r>
              <w:rPr>
                <w:rFonts w:hint="eastAsia" w:ascii="宋体" w:hAnsi="宋体" w:eastAsia="宋体" w:cs="宋体"/>
                <w:b/>
                <w:kern w:val="0"/>
                <w:sz w:val="22"/>
              </w:rPr>
              <w:t>　</w:t>
            </w:r>
          </w:p>
        </w:tc>
      </w:tr>
    </w:tbl>
    <w:p w14:paraId="59278CDF">
      <w:pPr>
        <w:tabs>
          <w:tab w:val="left" w:pos="7513"/>
        </w:tabs>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77543A7E">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二、收入预算总表</w:t>
      </w:r>
    </w:p>
    <w:tbl>
      <w:tblPr>
        <w:tblStyle w:val="11"/>
        <w:tblW w:w="14159" w:type="dxa"/>
        <w:tblInd w:w="93" w:type="dxa"/>
        <w:tblLayout w:type="fixed"/>
        <w:tblCellMar>
          <w:top w:w="0" w:type="dxa"/>
          <w:left w:w="108" w:type="dxa"/>
          <w:bottom w:w="0" w:type="dxa"/>
          <w:right w:w="108" w:type="dxa"/>
        </w:tblCellMar>
      </w:tblPr>
      <w:tblGrid>
        <w:gridCol w:w="1149"/>
        <w:gridCol w:w="91"/>
        <w:gridCol w:w="1412"/>
        <w:gridCol w:w="1017"/>
        <w:gridCol w:w="1134"/>
        <w:gridCol w:w="1134"/>
        <w:gridCol w:w="1134"/>
        <w:gridCol w:w="1134"/>
        <w:gridCol w:w="859"/>
        <w:gridCol w:w="1126"/>
        <w:gridCol w:w="992"/>
        <w:gridCol w:w="992"/>
        <w:gridCol w:w="865"/>
        <w:gridCol w:w="868"/>
        <w:gridCol w:w="252"/>
      </w:tblGrid>
      <w:tr w14:paraId="6CD7E36E">
        <w:tblPrEx>
          <w:tblCellMar>
            <w:top w:w="0" w:type="dxa"/>
            <w:left w:w="108" w:type="dxa"/>
            <w:bottom w:w="0" w:type="dxa"/>
            <w:right w:w="108" w:type="dxa"/>
          </w:tblCellMar>
        </w:tblPrEx>
        <w:trPr>
          <w:gridAfter w:val="1"/>
          <w:wAfter w:w="252" w:type="dxa"/>
          <w:trHeight w:val="582" w:hRule="atLeast"/>
        </w:trPr>
        <w:tc>
          <w:tcPr>
            <w:tcW w:w="13907" w:type="dxa"/>
            <w:gridSpan w:val="14"/>
            <w:tcBorders>
              <w:top w:val="nil"/>
              <w:left w:val="nil"/>
              <w:bottom w:val="nil"/>
              <w:right w:val="nil"/>
            </w:tcBorders>
          </w:tcPr>
          <w:p w14:paraId="12C3B224">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年度收入预算总表</w:t>
            </w:r>
          </w:p>
        </w:tc>
      </w:tr>
      <w:tr w14:paraId="0FB945F0">
        <w:tblPrEx>
          <w:tblCellMar>
            <w:top w:w="0" w:type="dxa"/>
            <w:left w:w="108" w:type="dxa"/>
            <w:bottom w:w="0" w:type="dxa"/>
            <w:right w:w="108" w:type="dxa"/>
          </w:tblCellMar>
        </w:tblPrEx>
        <w:trPr>
          <w:trHeight w:val="479" w:hRule="atLeast"/>
        </w:trPr>
        <w:tc>
          <w:tcPr>
            <w:tcW w:w="1240" w:type="dxa"/>
            <w:gridSpan w:val="2"/>
            <w:tcBorders>
              <w:top w:val="nil"/>
              <w:left w:val="nil"/>
              <w:bottom w:val="single" w:color="auto" w:sz="4" w:space="0"/>
              <w:right w:val="nil"/>
            </w:tcBorders>
            <w:shd w:val="clear" w:color="auto" w:fill="auto"/>
            <w:noWrap/>
            <w:vAlign w:val="bottom"/>
          </w:tcPr>
          <w:p w14:paraId="77B5E2F6">
            <w:pPr>
              <w:widowControl/>
              <w:spacing w:line="240" w:lineRule="auto"/>
              <w:jc w:val="left"/>
              <w:rPr>
                <w:rFonts w:ascii="宋体" w:hAnsi="宋体" w:eastAsia="宋体" w:cs="宋体"/>
                <w:kern w:val="0"/>
                <w:sz w:val="24"/>
                <w:szCs w:val="24"/>
              </w:rPr>
            </w:pPr>
          </w:p>
        </w:tc>
        <w:tc>
          <w:tcPr>
            <w:tcW w:w="1412" w:type="dxa"/>
            <w:tcBorders>
              <w:top w:val="nil"/>
              <w:left w:val="nil"/>
              <w:bottom w:val="single" w:color="auto" w:sz="4" w:space="0"/>
              <w:right w:val="nil"/>
            </w:tcBorders>
            <w:shd w:val="clear" w:color="auto" w:fill="auto"/>
            <w:noWrap/>
            <w:vAlign w:val="bottom"/>
          </w:tcPr>
          <w:p w14:paraId="4D155861">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46DACAA7">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36681980">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09275DAB">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201EB234">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02A45414">
            <w:pPr>
              <w:widowControl/>
              <w:spacing w:line="240" w:lineRule="auto"/>
              <w:jc w:val="center"/>
              <w:rPr>
                <w:rFonts w:ascii="宋体" w:hAnsi="宋体" w:eastAsia="宋体" w:cs="宋体"/>
                <w:kern w:val="0"/>
                <w:sz w:val="24"/>
                <w:szCs w:val="24"/>
              </w:rPr>
            </w:pPr>
          </w:p>
        </w:tc>
        <w:tc>
          <w:tcPr>
            <w:tcW w:w="859" w:type="dxa"/>
            <w:tcBorders>
              <w:top w:val="nil"/>
              <w:left w:val="nil"/>
              <w:bottom w:val="single" w:color="auto" w:sz="4" w:space="0"/>
              <w:right w:val="nil"/>
            </w:tcBorders>
          </w:tcPr>
          <w:p w14:paraId="02992EC1">
            <w:pPr>
              <w:widowControl/>
              <w:spacing w:line="240" w:lineRule="auto"/>
              <w:jc w:val="right"/>
              <w:rPr>
                <w:rFonts w:ascii="宋体" w:hAnsi="宋体" w:eastAsia="宋体" w:cs="宋体"/>
                <w:kern w:val="0"/>
                <w:sz w:val="22"/>
              </w:rPr>
            </w:pPr>
          </w:p>
        </w:tc>
        <w:tc>
          <w:tcPr>
            <w:tcW w:w="1126" w:type="dxa"/>
            <w:tcBorders>
              <w:top w:val="nil"/>
              <w:left w:val="nil"/>
              <w:bottom w:val="single" w:color="auto" w:sz="4" w:space="0"/>
              <w:right w:val="nil"/>
            </w:tcBorders>
          </w:tcPr>
          <w:p w14:paraId="79CFF0A8">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5D243388">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0C3173AF">
            <w:pPr>
              <w:widowControl/>
              <w:spacing w:line="240" w:lineRule="auto"/>
              <w:jc w:val="right"/>
              <w:rPr>
                <w:rFonts w:ascii="宋体" w:hAnsi="宋体" w:eastAsia="宋体" w:cs="宋体"/>
                <w:kern w:val="0"/>
                <w:sz w:val="22"/>
              </w:rPr>
            </w:pPr>
          </w:p>
        </w:tc>
        <w:tc>
          <w:tcPr>
            <w:tcW w:w="1985" w:type="dxa"/>
            <w:gridSpan w:val="3"/>
            <w:tcBorders>
              <w:top w:val="nil"/>
              <w:left w:val="nil"/>
              <w:bottom w:val="single" w:color="auto" w:sz="4" w:space="0"/>
              <w:right w:val="nil"/>
            </w:tcBorders>
            <w:shd w:val="clear" w:color="auto" w:fill="auto"/>
            <w:noWrap/>
            <w:vAlign w:val="center"/>
          </w:tcPr>
          <w:p w14:paraId="0311E427">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45B06BA0">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64524C48">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科目编码</w:t>
            </w:r>
          </w:p>
        </w:tc>
        <w:tc>
          <w:tcPr>
            <w:tcW w:w="1503" w:type="dxa"/>
            <w:gridSpan w:val="2"/>
            <w:tcBorders>
              <w:top w:val="single" w:color="auto" w:sz="4" w:space="0"/>
              <w:left w:val="single" w:color="auto" w:sz="4" w:space="0"/>
              <w:bottom w:val="single" w:color="auto" w:sz="4" w:space="0"/>
              <w:right w:val="single" w:color="auto" w:sz="4" w:space="0"/>
            </w:tcBorders>
            <w:vAlign w:val="center"/>
          </w:tcPr>
          <w:p w14:paraId="365CD1FC">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3BF2B2DD">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总计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02605B75">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3E9AC6B2">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6C314A9E">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E32559E">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财政专户管理资金收入</w:t>
            </w:r>
          </w:p>
        </w:tc>
        <w:tc>
          <w:tcPr>
            <w:tcW w:w="859" w:type="dxa"/>
            <w:tcBorders>
              <w:top w:val="single" w:color="auto" w:sz="4" w:space="0"/>
              <w:left w:val="single" w:color="auto" w:sz="4" w:space="0"/>
              <w:bottom w:val="single" w:color="auto" w:sz="4" w:space="0"/>
              <w:right w:val="single" w:color="auto" w:sz="4" w:space="0"/>
            </w:tcBorders>
            <w:vAlign w:val="center"/>
          </w:tcPr>
          <w:p w14:paraId="60BF0318">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事业收入</w:t>
            </w:r>
          </w:p>
        </w:tc>
        <w:tc>
          <w:tcPr>
            <w:tcW w:w="1126" w:type="dxa"/>
            <w:tcBorders>
              <w:top w:val="single" w:color="auto" w:sz="4" w:space="0"/>
              <w:left w:val="single" w:color="auto" w:sz="4" w:space="0"/>
              <w:bottom w:val="single" w:color="auto" w:sz="4" w:space="0"/>
              <w:right w:val="single" w:color="auto" w:sz="4" w:space="0"/>
            </w:tcBorders>
            <w:vAlign w:val="center"/>
          </w:tcPr>
          <w:p w14:paraId="4CD22495">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06B9B9D3">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5D17AD42">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附属单位上缴收入</w:t>
            </w:r>
          </w:p>
        </w:tc>
        <w:tc>
          <w:tcPr>
            <w:tcW w:w="865" w:type="dxa"/>
            <w:tcBorders>
              <w:top w:val="single" w:color="auto" w:sz="4" w:space="0"/>
              <w:left w:val="single" w:color="auto" w:sz="4" w:space="0"/>
              <w:bottom w:val="single" w:color="auto" w:sz="4" w:space="0"/>
              <w:right w:val="single" w:color="auto" w:sz="4" w:space="0"/>
            </w:tcBorders>
            <w:shd w:val="clear" w:color="auto" w:fill="auto"/>
            <w:vAlign w:val="center"/>
          </w:tcPr>
          <w:p w14:paraId="56AE318B">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其他收入</w:t>
            </w:r>
          </w:p>
        </w:tc>
        <w:tc>
          <w:tcPr>
            <w:tcW w:w="1120" w:type="dxa"/>
            <w:gridSpan w:val="2"/>
            <w:tcBorders>
              <w:top w:val="single" w:color="auto" w:sz="4" w:space="0"/>
              <w:left w:val="nil"/>
              <w:bottom w:val="single" w:color="auto" w:sz="4" w:space="0"/>
              <w:right w:val="single" w:color="auto" w:sz="4" w:space="0"/>
            </w:tcBorders>
            <w:shd w:val="clear" w:color="auto" w:fill="auto"/>
            <w:vAlign w:val="center"/>
          </w:tcPr>
          <w:p w14:paraId="5AEDFD49">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上年结转结余</w:t>
            </w:r>
          </w:p>
        </w:tc>
      </w:tr>
      <w:tr w14:paraId="095EADD5">
        <w:tblPrEx>
          <w:tblCellMar>
            <w:top w:w="0" w:type="dxa"/>
            <w:left w:w="108" w:type="dxa"/>
            <w:bottom w:w="0" w:type="dxa"/>
            <w:right w:w="108" w:type="dxa"/>
          </w:tblCellMar>
        </w:tblPrEx>
        <w:trPr>
          <w:trHeight w:val="402" w:hRule="atLeast"/>
        </w:trPr>
        <w:tc>
          <w:tcPr>
            <w:tcW w:w="2652" w:type="dxa"/>
            <w:gridSpan w:val="3"/>
            <w:tcBorders>
              <w:top w:val="nil"/>
              <w:left w:val="single" w:color="auto" w:sz="4" w:space="0"/>
              <w:bottom w:val="single" w:color="auto" w:sz="4" w:space="0"/>
              <w:right w:val="single" w:color="auto" w:sz="4" w:space="0"/>
            </w:tcBorders>
            <w:shd w:val="clear" w:color="auto" w:fill="auto"/>
            <w:noWrap/>
            <w:vAlign w:val="center"/>
          </w:tcPr>
          <w:p w14:paraId="62B69B80">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6A7DE1C6">
            <w:pPr>
              <w:widowControl/>
              <w:spacing w:line="240" w:lineRule="auto"/>
              <w:jc w:val="right"/>
              <w:rPr>
                <w:rFonts w:ascii="宋体" w:hAnsi="宋体" w:eastAsia="宋体" w:cs="宋体"/>
                <w:color w:val="000000"/>
                <w:kern w:val="0"/>
                <w:sz w:val="22"/>
              </w:rPr>
            </w:pPr>
            <w:r>
              <w:rPr>
                <w:rFonts w:hint="eastAsia" w:ascii="宋体" w:hAnsi="宋体" w:eastAsia="宋体" w:cs="宋体"/>
                <w:i w:val="0"/>
                <w:iCs w:val="0"/>
                <w:color w:val="000000"/>
                <w:kern w:val="0"/>
                <w:sz w:val="18"/>
                <w:szCs w:val="18"/>
                <w:u w:val="none"/>
                <w:lang w:val="en-US" w:eastAsia="zh-CN" w:bidi="ar"/>
              </w:rPr>
              <w:t>962.55</w:t>
            </w:r>
          </w:p>
        </w:tc>
        <w:tc>
          <w:tcPr>
            <w:tcW w:w="1134" w:type="dxa"/>
            <w:tcBorders>
              <w:top w:val="nil"/>
              <w:left w:val="nil"/>
              <w:bottom w:val="single" w:color="auto" w:sz="4" w:space="0"/>
              <w:right w:val="single" w:color="auto" w:sz="4" w:space="0"/>
            </w:tcBorders>
            <w:shd w:val="clear" w:color="auto" w:fill="auto"/>
            <w:noWrap/>
            <w:vAlign w:val="center"/>
          </w:tcPr>
          <w:p w14:paraId="7892B142">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712.55</w:t>
            </w:r>
          </w:p>
        </w:tc>
        <w:tc>
          <w:tcPr>
            <w:tcW w:w="1134" w:type="dxa"/>
            <w:tcBorders>
              <w:top w:val="nil"/>
              <w:left w:val="nil"/>
              <w:bottom w:val="single" w:color="auto" w:sz="4" w:space="0"/>
              <w:right w:val="single" w:color="auto" w:sz="4" w:space="0"/>
            </w:tcBorders>
            <w:shd w:val="clear" w:color="auto" w:fill="auto"/>
            <w:vAlign w:val="center"/>
          </w:tcPr>
          <w:p w14:paraId="3C5153A7">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p>
        </w:tc>
        <w:tc>
          <w:tcPr>
            <w:tcW w:w="1134" w:type="dxa"/>
            <w:tcBorders>
              <w:top w:val="single" w:color="auto" w:sz="4" w:space="0"/>
              <w:left w:val="nil"/>
              <w:bottom w:val="single" w:color="auto" w:sz="4" w:space="0"/>
              <w:right w:val="single" w:color="auto" w:sz="4" w:space="0"/>
            </w:tcBorders>
            <w:vAlign w:val="center"/>
          </w:tcPr>
          <w:p w14:paraId="0DE9D76F">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34C9A26">
            <w:pPr>
              <w:widowControl/>
              <w:spacing w:line="240" w:lineRule="auto"/>
              <w:jc w:val="right"/>
              <w:rPr>
                <w:rFonts w:ascii="宋体" w:hAnsi="宋体" w:eastAsia="宋体" w:cs="宋体"/>
                <w:color w:val="000000"/>
                <w:kern w:val="0"/>
                <w:sz w:val="22"/>
              </w:rPr>
            </w:pPr>
          </w:p>
        </w:tc>
        <w:tc>
          <w:tcPr>
            <w:tcW w:w="859" w:type="dxa"/>
            <w:tcBorders>
              <w:top w:val="single" w:color="auto" w:sz="4" w:space="0"/>
              <w:left w:val="single" w:color="auto" w:sz="4" w:space="0"/>
              <w:bottom w:val="single" w:color="auto" w:sz="4" w:space="0"/>
              <w:right w:val="single" w:color="auto" w:sz="4" w:space="0"/>
            </w:tcBorders>
            <w:vAlign w:val="center"/>
          </w:tcPr>
          <w:p w14:paraId="37E2E7B6">
            <w:pPr>
              <w:widowControl/>
              <w:spacing w:line="240" w:lineRule="auto"/>
              <w:jc w:val="right"/>
              <w:rPr>
                <w:rFonts w:ascii="宋体" w:hAnsi="宋体" w:eastAsia="宋体" w:cs="宋体"/>
                <w:kern w:val="0"/>
                <w:sz w:val="22"/>
              </w:rPr>
            </w:pPr>
          </w:p>
        </w:tc>
        <w:tc>
          <w:tcPr>
            <w:tcW w:w="1126" w:type="dxa"/>
            <w:tcBorders>
              <w:top w:val="single" w:color="auto" w:sz="4" w:space="0"/>
              <w:left w:val="single" w:color="auto" w:sz="4" w:space="0"/>
              <w:bottom w:val="single" w:color="auto" w:sz="4" w:space="0"/>
              <w:right w:val="single" w:color="auto" w:sz="4" w:space="0"/>
            </w:tcBorders>
            <w:vAlign w:val="center"/>
          </w:tcPr>
          <w:p w14:paraId="03B32D94">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B9B7AC0">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E49292A">
            <w:pPr>
              <w:widowControl/>
              <w:spacing w:line="240" w:lineRule="auto"/>
              <w:jc w:val="right"/>
              <w:rPr>
                <w:rFonts w:ascii="宋体" w:hAnsi="宋体" w:eastAsia="宋体" w:cs="宋体"/>
                <w:kern w:val="0"/>
                <w:sz w:val="22"/>
              </w:rPr>
            </w:pPr>
          </w:p>
        </w:tc>
        <w:tc>
          <w:tcPr>
            <w:tcW w:w="86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05C055">
            <w:pPr>
              <w:keepNext w:val="0"/>
              <w:keepLines w:val="0"/>
              <w:widowControl/>
              <w:suppressLineNumbers w:val="0"/>
              <w:jc w:val="righ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250.00</w:t>
            </w:r>
          </w:p>
        </w:tc>
        <w:tc>
          <w:tcPr>
            <w:tcW w:w="11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C203975">
            <w:pPr>
              <w:widowControl/>
              <w:spacing w:line="240" w:lineRule="auto"/>
              <w:jc w:val="right"/>
              <w:rPr>
                <w:rFonts w:ascii="宋体" w:hAnsi="宋体" w:eastAsia="宋体" w:cs="宋体"/>
                <w:color w:val="000000"/>
                <w:kern w:val="0"/>
                <w:sz w:val="22"/>
              </w:rPr>
            </w:pPr>
          </w:p>
        </w:tc>
      </w:tr>
      <w:tr w14:paraId="1FB5DA1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152FE077">
            <w:pPr>
              <w:keepNext w:val="0"/>
              <w:keepLines w:val="0"/>
              <w:widowControl/>
              <w:suppressLineNumbers w:val="0"/>
              <w:jc w:val="center"/>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201</w:t>
            </w:r>
          </w:p>
        </w:tc>
        <w:tc>
          <w:tcPr>
            <w:tcW w:w="1503" w:type="dxa"/>
            <w:gridSpan w:val="2"/>
            <w:tcBorders>
              <w:top w:val="nil"/>
              <w:left w:val="nil"/>
              <w:bottom w:val="single" w:color="auto" w:sz="4" w:space="0"/>
              <w:right w:val="single" w:color="auto" w:sz="4" w:space="0"/>
            </w:tcBorders>
            <w:shd w:val="clear" w:color="auto" w:fill="auto"/>
            <w:vAlign w:val="center"/>
          </w:tcPr>
          <w:p w14:paraId="239868A2">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6"/>
                <w:szCs w:val="16"/>
                <w:u w:val="none"/>
                <w:lang w:val="en-US" w:eastAsia="zh-CN" w:bidi="ar"/>
              </w:rPr>
              <w:t>一般公共服务支出</w:t>
            </w:r>
          </w:p>
        </w:tc>
        <w:tc>
          <w:tcPr>
            <w:tcW w:w="1017" w:type="dxa"/>
            <w:tcBorders>
              <w:top w:val="nil"/>
              <w:left w:val="nil"/>
              <w:bottom w:val="single" w:color="auto" w:sz="4" w:space="0"/>
              <w:right w:val="single" w:color="auto" w:sz="4" w:space="0"/>
            </w:tcBorders>
            <w:shd w:val="clear" w:color="auto" w:fill="auto"/>
            <w:vAlign w:val="center"/>
          </w:tcPr>
          <w:p w14:paraId="7070C257">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680.73　</w:t>
            </w:r>
          </w:p>
        </w:tc>
        <w:tc>
          <w:tcPr>
            <w:tcW w:w="1134" w:type="dxa"/>
            <w:tcBorders>
              <w:top w:val="nil"/>
              <w:left w:val="nil"/>
              <w:bottom w:val="single" w:color="auto" w:sz="4" w:space="0"/>
              <w:right w:val="single" w:color="auto" w:sz="4" w:space="0"/>
            </w:tcBorders>
            <w:shd w:val="clear" w:color="auto" w:fill="auto"/>
            <w:vAlign w:val="center"/>
          </w:tcPr>
          <w:p w14:paraId="793F74F9">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288.37　</w:t>
            </w:r>
          </w:p>
        </w:tc>
        <w:tc>
          <w:tcPr>
            <w:tcW w:w="1134" w:type="dxa"/>
            <w:tcBorders>
              <w:top w:val="nil"/>
              <w:left w:val="nil"/>
              <w:bottom w:val="single" w:color="auto" w:sz="4" w:space="0"/>
              <w:right w:val="single" w:color="auto" w:sz="4" w:space="0"/>
            </w:tcBorders>
            <w:shd w:val="clear" w:color="auto" w:fill="auto"/>
            <w:vAlign w:val="center"/>
          </w:tcPr>
          <w:p w14:paraId="48F928E3">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w:t>
            </w:r>
          </w:p>
        </w:tc>
        <w:tc>
          <w:tcPr>
            <w:tcW w:w="1134" w:type="dxa"/>
            <w:tcBorders>
              <w:top w:val="single" w:color="auto" w:sz="4" w:space="0"/>
              <w:left w:val="nil"/>
              <w:bottom w:val="single" w:color="auto" w:sz="4" w:space="0"/>
              <w:right w:val="single" w:color="auto" w:sz="4" w:space="0"/>
            </w:tcBorders>
            <w:vAlign w:val="center"/>
          </w:tcPr>
          <w:p w14:paraId="5A44B84F">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281F496">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859" w:type="dxa"/>
            <w:tcBorders>
              <w:top w:val="single" w:color="auto" w:sz="4" w:space="0"/>
              <w:left w:val="single" w:color="auto" w:sz="4" w:space="0"/>
              <w:bottom w:val="single" w:color="auto" w:sz="4" w:space="0"/>
              <w:right w:val="single" w:color="auto" w:sz="4" w:space="0"/>
            </w:tcBorders>
            <w:vAlign w:val="center"/>
          </w:tcPr>
          <w:p w14:paraId="5EF58B1A">
            <w:pPr>
              <w:widowControl/>
              <w:spacing w:line="240" w:lineRule="auto"/>
              <w:jc w:val="right"/>
              <w:rPr>
                <w:rFonts w:ascii="宋体" w:hAnsi="宋体" w:eastAsia="宋体" w:cs="宋体"/>
                <w:kern w:val="0"/>
                <w:sz w:val="22"/>
              </w:rPr>
            </w:pPr>
          </w:p>
        </w:tc>
        <w:tc>
          <w:tcPr>
            <w:tcW w:w="1126" w:type="dxa"/>
            <w:tcBorders>
              <w:top w:val="single" w:color="auto" w:sz="4" w:space="0"/>
              <w:left w:val="single" w:color="auto" w:sz="4" w:space="0"/>
              <w:bottom w:val="single" w:color="auto" w:sz="4" w:space="0"/>
              <w:right w:val="single" w:color="auto" w:sz="4" w:space="0"/>
            </w:tcBorders>
            <w:vAlign w:val="center"/>
          </w:tcPr>
          <w:p w14:paraId="4E7148A5">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99F8DCE">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5F67C3B">
            <w:pPr>
              <w:widowControl/>
              <w:spacing w:line="240" w:lineRule="auto"/>
              <w:jc w:val="right"/>
              <w:rPr>
                <w:rFonts w:ascii="宋体" w:hAnsi="宋体" w:eastAsia="宋体" w:cs="宋体"/>
                <w:kern w:val="0"/>
                <w:sz w:val="22"/>
              </w:rPr>
            </w:pPr>
          </w:p>
        </w:tc>
        <w:tc>
          <w:tcPr>
            <w:tcW w:w="865" w:type="dxa"/>
            <w:tcBorders>
              <w:top w:val="single" w:color="auto" w:sz="4" w:space="0"/>
              <w:left w:val="single" w:color="auto" w:sz="4" w:space="0"/>
              <w:bottom w:val="single" w:color="auto" w:sz="4" w:space="0"/>
              <w:right w:val="single" w:color="auto" w:sz="4" w:space="0"/>
            </w:tcBorders>
            <w:shd w:val="clear" w:color="auto" w:fill="auto"/>
            <w:vAlign w:val="center"/>
          </w:tcPr>
          <w:p w14:paraId="680432CA">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250.00　</w:t>
            </w:r>
          </w:p>
        </w:tc>
        <w:tc>
          <w:tcPr>
            <w:tcW w:w="11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B141A6A">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3014EE33">
        <w:tblPrEx>
          <w:tblCellMar>
            <w:top w:w="0" w:type="dxa"/>
            <w:left w:w="108" w:type="dxa"/>
            <w:bottom w:w="0" w:type="dxa"/>
            <w:right w:w="108" w:type="dxa"/>
          </w:tblCellMar>
        </w:tblPrEx>
        <w:trPr>
          <w:trHeight w:val="61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59AD07C1">
            <w:pPr>
              <w:keepNext w:val="0"/>
              <w:keepLines w:val="0"/>
              <w:widowControl/>
              <w:suppressLineNumbers w:val="0"/>
              <w:jc w:val="center"/>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20103</w:t>
            </w:r>
          </w:p>
        </w:tc>
        <w:tc>
          <w:tcPr>
            <w:tcW w:w="1503" w:type="dxa"/>
            <w:gridSpan w:val="2"/>
            <w:tcBorders>
              <w:top w:val="nil"/>
              <w:left w:val="nil"/>
              <w:bottom w:val="single" w:color="auto" w:sz="4" w:space="0"/>
              <w:right w:val="single" w:color="auto" w:sz="4" w:space="0"/>
            </w:tcBorders>
            <w:shd w:val="clear" w:color="auto" w:fill="auto"/>
            <w:vAlign w:val="center"/>
          </w:tcPr>
          <w:p w14:paraId="126DB15B">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政府办公厅(室)及相关机构事务</w:t>
            </w:r>
          </w:p>
        </w:tc>
        <w:tc>
          <w:tcPr>
            <w:tcW w:w="1017" w:type="dxa"/>
            <w:tcBorders>
              <w:top w:val="nil"/>
              <w:left w:val="nil"/>
              <w:bottom w:val="single" w:color="auto" w:sz="4" w:space="0"/>
              <w:right w:val="single" w:color="auto" w:sz="4" w:space="0"/>
            </w:tcBorders>
            <w:shd w:val="clear" w:color="auto" w:fill="auto"/>
            <w:vAlign w:val="center"/>
          </w:tcPr>
          <w:p w14:paraId="526BAA3D">
            <w:pPr>
              <w:keepNext w:val="0"/>
              <w:keepLines w:val="0"/>
              <w:widowControl/>
              <w:suppressLineNumbers w:val="0"/>
              <w:jc w:val="righ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538.37　</w:t>
            </w:r>
          </w:p>
        </w:tc>
        <w:tc>
          <w:tcPr>
            <w:tcW w:w="1134" w:type="dxa"/>
            <w:tcBorders>
              <w:top w:val="nil"/>
              <w:left w:val="nil"/>
              <w:bottom w:val="single" w:color="auto" w:sz="4" w:space="0"/>
              <w:right w:val="single" w:color="auto" w:sz="4" w:space="0"/>
            </w:tcBorders>
            <w:shd w:val="clear" w:color="auto" w:fill="auto"/>
            <w:vAlign w:val="center"/>
          </w:tcPr>
          <w:p w14:paraId="6FFFA363">
            <w:pPr>
              <w:keepNext w:val="0"/>
              <w:keepLines w:val="0"/>
              <w:widowControl/>
              <w:suppressLineNumbers w:val="0"/>
              <w:jc w:val="righ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288.37　</w:t>
            </w:r>
          </w:p>
        </w:tc>
        <w:tc>
          <w:tcPr>
            <w:tcW w:w="1134" w:type="dxa"/>
            <w:tcBorders>
              <w:top w:val="nil"/>
              <w:left w:val="nil"/>
              <w:bottom w:val="single" w:color="auto" w:sz="4" w:space="0"/>
              <w:right w:val="single" w:color="auto" w:sz="4" w:space="0"/>
            </w:tcBorders>
            <w:shd w:val="clear" w:color="auto" w:fill="auto"/>
            <w:vAlign w:val="center"/>
          </w:tcPr>
          <w:p w14:paraId="40CE7681">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w:t>
            </w:r>
          </w:p>
        </w:tc>
        <w:tc>
          <w:tcPr>
            <w:tcW w:w="1134" w:type="dxa"/>
            <w:tcBorders>
              <w:top w:val="single" w:color="auto" w:sz="4" w:space="0"/>
              <w:left w:val="nil"/>
              <w:bottom w:val="single" w:color="auto" w:sz="4" w:space="0"/>
              <w:right w:val="single" w:color="auto" w:sz="4" w:space="0"/>
            </w:tcBorders>
            <w:vAlign w:val="center"/>
          </w:tcPr>
          <w:p w14:paraId="14D6D14A">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E4B97B2">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859" w:type="dxa"/>
            <w:tcBorders>
              <w:top w:val="single" w:color="auto" w:sz="4" w:space="0"/>
              <w:left w:val="single" w:color="auto" w:sz="4" w:space="0"/>
              <w:bottom w:val="single" w:color="auto" w:sz="4" w:space="0"/>
              <w:right w:val="single" w:color="auto" w:sz="4" w:space="0"/>
            </w:tcBorders>
            <w:vAlign w:val="center"/>
          </w:tcPr>
          <w:p w14:paraId="5A934168">
            <w:pPr>
              <w:widowControl/>
              <w:spacing w:line="240" w:lineRule="auto"/>
              <w:jc w:val="right"/>
              <w:rPr>
                <w:rFonts w:ascii="宋体" w:hAnsi="宋体" w:eastAsia="宋体" w:cs="宋体"/>
                <w:kern w:val="0"/>
                <w:sz w:val="22"/>
              </w:rPr>
            </w:pPr>
          </w:p>
        </w:tc>
        <w:tc>
          <w:tcPr>
            <w:tcW w:w="1126" w:type="dxa"/>
            <w:tcBorders>
              <w:top w:val="single" w:color="auto" w:sz="4" w:space="0"/>
              <w:left w:val="single" w:color="auto" w:sz="4" w:space="0"/>
              <w:bottom w:val="single" w:color="auto" w:sz="4" w:space="0"/>
              <w:right w:val="single" w:color="auto" w:sz="4" w:space="0"/>
            </w:tcBorders>
            <w:vAlign w:val="center"/>
          </w:tcPr>
          <w:p w14:paraId="4F53DB44">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D1F709B">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003D3F3">
            <w:pPr>
              <w:widowControl/>
              <w:spacing w:line="240" w:lineRule="auto"/>
              <w:jc w:val="right"/>
              <w:rPr>
                <w:rFonts w:ascii="宋体" w:hAnsi="宋体" w:eastAsia="宋体" w:cs="宋体"/>
                <w:kern w:val="0"/>
                <w:sz w:val="22"/>
              </w:rPr>
            </w:pPr>
          </w:p>
        </w:tc>
        <w:tc>
          <w:tcPr>
            <w:tcW w:w="865" w:type="dxa"/>
            <w:tcBorders>
              <w:top w:val="single" w:color="auto" w:sz="4" w:space="0"/>
              <w:left w:val="single" w:color="auto" w:sz="4" w:space="0"/>
              <w:bottom w:val="single" w:color="auto" w:sz="4" w:space="0"/>
              <w:right w:val="single" w:color="auto" w:sz="4" w:space="0"/>
            </w:tcBorders>
            <w:shd w:val="clear" w:color="auto" w:fill="auto"/>
            <w:vAlign w:val="center"/>
          </w:tcPr>
          <w:p w14:paraId="7D91ABBB">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250.00　</w:t>
            </w:r>
          </w:p>
        </w:tc>
        <w:tc>
          <w:tcPr>
            <w:tcW w:w="11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BE61F95">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049F865E">
        <w:tblPrEx>
          <w:tblCellMar>
            <w:top w:w="0" w:type="dxa"/>
            <w:left w:w="108" w:type="dxa"/>
            <w:bottom w:w="0" w:type="dxa"/>
            <w:right w:w="108" w:type="dxa"/>
          </w:tblCellMar>
        </w:tblPrEx>
        <w:trPr>
          <w:trHeight w:val="33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28B6A1">
            <w:pPr>
              <w:keepNext w:val="0"/>
              <w:keepLines w:val="0"/>
              <w:widowControl/>
              <w:suppressLineNumbers w:val="0"/>
              <w:jc w:val="center"/>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2010301</w:t>
            </w:r>
          </w:p>
        </w:tc>
        <w:tc>
          <w:tcPr>
            <w:tcW w:w="150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A4B23B3">
            <w:pPr>
              <w:keepNext w:val="0"/>
              <w:keepLines w:val="0"/>
              <w:widowControl/>
              <w:suppressLineNumbers w:val="0"/>
              <w:jc w:val="center"/>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行政运行</w:t>
            </w:r>
          </w:p>
        </w:tc>
        <w:tc>
          <w:tcPr>
            <w:tcW w:w="10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3307FB">
            <w:pPr>
              <w:keepNext w:val="0"/>
              <w:keepLines w:val="0"/>
              <w:widowControl/>
              <w:suppressLineNumbers w:val="0"/>
              <w:jc w:val="righ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538.37　</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76F50A">
            <w:pPr>
              <w:keepNext w:val="0"/>
              <w:keepLines w:val="0"/>
              <w:widowControl/>
              <w:suppressLineNumbers w:val="0"/>
              <w:jc w:val="righ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288.37　</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A729E1">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w:t>
            </w:r>
          </w:p>
        </w:tc>
        <w:tc>
          <w:tcPr>
            <w:tcW w:w="1134" w:type="dxa"/>
            <w:tcBorders>
              <w:top w:val="single" w:color="auto" w:sz="4" w:space="0"/>
              <w:left w:val="nil"/>
              <w:bottom w:val="single" w:color="auto" w:sz="4" w:space="0"/>
              <w:right w:val="single" w:color="auto" w:sz="4" w:space="0"/>
            </w:tcBorders>
            <w:vAlign w:val="center"/>
          </w:tcPr>
          <w:p w14:paraId="5B5B159F">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8FED3D">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859" w:type="dxa"/>
            <w:tcBorders>
              <w:top w:val="single" w:color="auto" w:sz="4" w:space="0"/>
              <w:left w:val="single" w:color="auto" w:sz="4" w:space="0"/>
              <w:bottom w:val="single" w:color="auto" w:sz="4" w:space="0"/>
              <w:right w:val="single" w:color="auto" w:sz="4" w:space="0"/>
            </w:tcBorders>
            <w:vAlign w:val="center"/>
          </w:tcPr>
          <w:p w14:paraId="00323EAC">
            <w:pPr>
              <w:widowControl/>
              <w:spacing w:line="240" w:lineRule="auto"/>
              <w:jc w:val="right"/>
              <w:rPr>
                <w:rFonts w:ascii="宋体" w:hAnsi="宋体" w:eastAsia="宋体" w:cs="宋体"/>
                <w:kern w:val="0"/>
                <w:sz w:val="24"/>
                <w:szCs w:val="24"/>
              </w:rPr>
            </w:pPr>
          </w:p>
        </w:tc>
        <w:tc>
          <w:tcPr>
            <w:tcW w:w="1126" w:type="dxa"/>
            <w:tcBorders>
              <w:top w:val="single" w:color="auto" w:sz="4" w:space="0"/>
              <w:left w:val="single" w:color="auto" w:sz="4" w:space="0"/>
              <w:bottom w:val="single" w:color="auto" w:sz="4" w:space="0"/>
              <w:right w:val="single" w:color="auto" w:sz="4" w:space="0"/>
            </w:tcBorders>
            <w:vAlign w:val="center"/>
          </w:tcPr>
          <w:p w14:paraId="06C0AC64">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7B1435F3">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60EF3131">
            <w:pPr>
              <w:widowControl/>
              <w:spacing w:line="240" w:lineRule="auto"/>
              <w:jc w:val="right"/>
              <w:rPr>
                <w:rFonts w:ascii="宋体" w:hAnsi="宋体" w:eastAsia="宋体" w:cs="宋体"/>
                <w:kern w:val="0"/>
                <w:sz w:val="24"/>
                <w:szCs w:val="24"/>
              </w:rPr>
            </w:pPr>
          </w:p>
        </w:tc>
        <w:tc>
          <w:tcPr>
            <w:tcW w:w="86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2C06B3">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250.00　</w:t>
            </w:r>
          </w:p>
        </w:tc>
        <w:tc>
          <w:tcPr>
            <w:tcW w:w="11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5313FAF">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5F2A576">
        <w:tblPrEx>
          <w:tblCellMar>
            <w:top w:w="0" w:type="dxa"/>
            <w:left w:w="108" w:type="dxa"/>
            <w:bottom w:w="0" w:type="dxa"/>
            <w:right w:w="108" w:type="dxa"/>
          </w:tblCellMar>
        </w:tblPrEx>
        <w:trPr>
          <w:trHeight w:val="287"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C201DE">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213</w:t>
            </w:r>
          </w:p>
        </w:tc>
        <w:tc>
          <w:tcPr>
            <w:tcW w:w="150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2E920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农林水支出</w:t>
            </w:r>
          </w:p>
        </w:tc>
        <w:tc>
          <w:tcPr>
            <w:tcW w:w="10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1BAF0C">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385.03</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4A28A1">
            <w:pPr>
              <w:keepNext w:val="0"/>
              <w:keepLines w:val="0"/>
              <w:widowControl/>
              <w:suppressLineNumbers w:val="0"/>
              <w:jc w:val="righ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385.03</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32F8B2">
            <w:pPr>
              <w:keepNext w:val="0"/>
              <w:keepLines w:val="0"/>
              <w:widowControl/>
              <w:suppressLineNumbers w:val="0"/>
              <w:jc w:val="right"/>
              <w:textAlignment w:val="center"/>
              <w:rPr>
                <w:rFonts w:hint="default" w:ascii="宋体" w:hAnsi="宋体" w:eastAsia="宋体" w:cs="宋体"/>
                <w:i w:val="0"/>
                <w:iCs w:val="0"/>
                <w:color w:val="000000"/>
                <w:kern w:val="0"/>
                <w:sz w:val="18"/>
                <w:szCs w:val="18"/>
                <w:u w:val="none"/>
                <w:lang w:val="en-US" w:eastAsia="zh-CN" w:bidi="ar"/>
              </w:rPr>
            </w:pPr>
          </w:p>
        </w:tc>
        <w:tc>
          <w:tcPr>
            <w:tcW w:w="1134" w:type="dxa"/>
            <w:tcBorders>
              <w:top w:val="single" w:color="auto" w:sz="4" w:space="0"/>
              <w:left w:val="nil"/>
              <w:bottom w:val="single" w:color="auto" w:sz="4" w:space="0"/>
              <w:right w:val="single" w:color="auto" w:sz="4" w:space="0"/>
            </w:tcBorders>
            <w:vAlign w:val="center"/>
          </w:tcPr>
          <w:p w14:paraId="4C303858">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EE6A4D">
            <w:pPr>
              <w:widowControl/>
              <w:spacing w:line="240" w:lineRule="auto"/>
              <w:jc w:val="right"/>
              <w:rPr>
                <w:rFonts w:hint="eastAsia" w:ascii="宋体" w:hAnsi="宋体" w:eastAsia="宋体" w:cs="宋体"/>
                <w:kern w:val="0"/>
                <w:sz w:val="24"/>
                <w:szCs w:val="24"/>
              </w:rPr>
            </w:pPr>
          </w:p>
        </w:tc>
        <w:tc>
          <w:tcPr>
            <w:tcW w:w="859" w:type="dxa"/>
            <w:tcBorders>
              <w:top w:val="single" w:color="auto" w:sz="4" w:space="0"/>
              <w:left w:val="single" w:color="auto" w:sz="4" w:space="0"/>
              <w:bottom w:val="single" w:color="auto" w:sz="4" w:space="0"/>
              <w:right w:val="single" w:color="auto" w:sz="4" w:space="0"/>
            </w:tcBorders>
            <w:vAlign w:val="center"/>
          </w:tcPr>
          <w:p w14:paraId="2B184FD1">
            <w:pPr>
              <w:widowControl/>
              <w:spacing w:line="240" w:lineRule="auto"/>
              <w:jc w:val="right"/>
              <w:rPr>
                <w:rFonts w:ascii="宋体" w:hAnsi="宋体" w:eastAsia="宋体" w:cs="宋体"/>
                <w:kern w:val="0"/>
                <w:sz w:val="24"/>
                <w:szCs w:val="24"/>
              </w:rPr>
            </w:pPr>
          </w:p>
        </w:tc>
        <w:tc>
          <w:tcPr>
            <w:tcW w:w="1126" w:type="dxa"/>
            <w:tcBorders>
              <w:top w:val="single" w:color="auto" w:sz="4" w:space="0"/>
              <w:left w:val="single" w:color="auto" w:sz="4" w:space="0"/>
              <w:bottom w:val="single" w:color="auto" w:sz="4" w:space="0"/>
              <w:right w:val="single" w:color="auto" w:sz="4" w:space="0"/>
            </w:tcBorders>
            <w:vAlign w:val="center"/>
          </w:tcPr>
          <w:p w14:paraId="5DFB6CD1">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5A3DB330">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798935D7">
            <w:pPr>
              <w:widowControl/>
              <w:spacing w:line="240" w:lineRule="auto"/>
              <w:jc w:val="right"/>
              <w:rPr>
                <w:rFonts w:ascii="宋体" w:hAnsi="宋体" w:eastAsia="宋体" w:cs="宋体"/>
                <w:kern w:val="0"/>
                <w:sz w:val="24"/>
                <w:szCs w:val="24"/>
              </w:rPr>
            </w:pPr>
          </w:p>
        </w:tc>
        <w:tc>
          <w:tcPr>
            <w:tcW w:w="86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350BDE">
            <w:pPr>
              <w:widowControl/>
              <w:spacing w:line="240" w:lineRule="auto"/>
              <w:jc w:val="right"/>
              <w:rPr>
                <w:rFonts w:hint="eastAsia" w:ascii="宋体" w:hAnsi="宋体" w:eastAsia="宋体" w:cs="宋体"/>
                <w:kern w:val="0"/>
                <w:sz w:val="24"/>
                <w:szCs w:val="24"/>
              </w:rPr>
            </w:pPr>
          </w:p>
        </w:tc>
        <w:tc>
          <w:tcPr>
            <w:tcW w:w="11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3015F1C">
            <w:pPr>
              <w:widowControl/>
              <w:spacing w:line="240" w:lineRule="auto"/>
              <w:jc w:val="right"/>
              <w:rPr>
                <w:rFonts w:hint="eastAsia" w:ascii="宋体" w:hAnsi="宋体" w:eastAsia="宋体" w:cs="宋体"/>
                <w:kern w:val="0"/>
                <w:sz w:val="24"/>
                <w:szCs w:val="24"/>
              </w:rPr>
            </w:pPr>
          </w:p>
        </w:tc>
      </w:tr>
      <w:tr w14:paraId="30E72D8E">
        <w:tblPrEx>
          <w:tblCellMar>
            <w:top w:w="0" w:type="dxa"/>
            <w:left w:w="108" w:type="dxa"/>
            <w:bottom w:w="0" w:type="dxa"/>
            <w:right w:w="108" w:type="dxa"/>
          </w:tblCellMar>
        </w:tblPrEx>
        <w:trPr>
          <w:trHeight w:val="33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84ADE2">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21301</w:t>
            </w:r>
          </w:p>
        </w:tc>
        <w:tc>
          <w:tcPr>
            <w:tcW w:w="150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1067A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农业农村</w:t>
            </w:r>
          </w:p>
        </w:tc>
        <w:tc>
          <w:tcPr>
            <w:tcW w:w="10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7725AE">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385.03</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53369A">
            <w:pPr>
              <w:keepNext w:val="0"/>
              <w:keepLines w:val="0"/>
              <w:widowControl/>
              <w:suppressLineNumbers w:val="0"/>
              <w:jc w:val="righ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  385.03</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A5B3EB">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 </w:t>
            </w:r>
          </w:p>
        </w:tc>
        <w:tc>
          <w:tcPr>
            <w:tcW w:w="1134" w:type="dxa"/>
            <w:tcBorders>
              <w:top w:val="single" w:color="auto" w:sz="4" w:space="0"/>
              <w:left w:val="nil"/>
              <w:bottom w:val="single" w:color="auto" w:sz="4" w:space="0"/>
              <w:right w:val="single" w:color="auto" w:sz="4" w:space="0"/>
            </w:tcBorders>
            <w:vAlign w:val="center"/>
          </w:tcPr>
          <w:p w14:paraId="10F9D373">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461A3F">
            <w:pPr>
              <w:widowControl/>
              <w:spacing w:line="240" w:lineRule="auto"/>
              <w:jc w:val="right"/>
              <w:rPr>
                <w:rFonts w:hint="eastAsia" w:ascii="宋体" w:hAnsi="宋体" w:eastAsia="宋体" w:cs="宋体"/>
                <w:kern w:val="0"/>
                <w:sz w:val="24"/>
                <w:szCs w:val="24"/>
              </w:rPr>
            </w:pPr>
          </w:p>
        </w:tc>
        <w:tc>
          <w:tcPr>
            <w:tcW w:w="859" w:type="dxa"/>
            <w:tcBorders>
              <w:top w:val="single" w:color="auto" w:sz="4" w:space="0"/>
              <w:left w:val="single" w:color="auto" w:sz="4" w:space="0"/>
              <w:bottom w:val="single" w:color="auto" w:sz="4" w:space="0"/>
              <w:right w:val="single" w:color="auto" w:sz="4" w:space="0"/>
            </w:tcBorders>
            <w:vAlign w:val="center"/>
          </w:tcPr>
          <w:p w14:paraId="639EB9DF">
            <w:pPr>
              <w:widowControl/>
              <w:spacing w:line="240" w:lineRule="auto"/>
              <w:jc w:val="right"/>
              <w:rPr>
                <w:rFonts w:ascii="宋体" w:hAnsi="宋体" w:eastAsia="宋体" w:cs="宋体"/>
                <w:kern w:val="0"/>
                <w:sz w:val="24"/>
                <w:szCs w:val="24"/>
              </w:rPr>
            </w:pPr>
          </w:p>
        </w:tc>
        <w:tc>
          <w:tcPr>
            <w:tcW w:w="1126" w:type="dxa"/>
            <w:tcBorders>
              <w:top w:val="single" w:color="auto" w:sz="4" w:space="0"/>
              <w:left w:val="single" w:color="auto" w:sz="4" w:space="0"/>
              <w:bottom w:val="single" w:color="auto" w:sz="4" w:space="0"/>
              <w:right w:val="single" w:color="auto" w:sz="4" w:space="0"/>
            </w:tcBorders>
            <w:vAlign w:val="center"/>
          </w:tcPr>
          <w:p w14:paraId="7C424689">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27AA22A4">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72E658B7">
            <w:pPr>
              <w:widowControl/>
              <w:spacing w:line="240" w:lineRule="auto"/>
              <w:jc w:val="right"/>
              <w:rPr>
                <w:rFonts w:ascii="宋体" w:hAnsi="宋体" w:eastAsia="宋体" w:cs="宋体"/>
                <w:kern w:val="0"/>
                <w:sz w:val="24"/>
                <w:szCs w:val="24"/>
              </w:rPr>
            </w:pPr>
          </w:p>
        </w:tc>
        <w:tc>
          <w:tcPr>
            <w:tcW w:w="86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628324">
            <w:pPr>
              <w:widowControl/>
              <w:spacing w:line="240" w:lineRule="auto"/>
              <w:jc w:val="right"/>
              <w:rPr>
                <w:rFonts w:hint="eastAsia" w:ascii="宋体" w:hAnsi="宋体" w:eastAsia="宋体" w:cs="宋体"/>
                <w:kern w:val="0"/>
                <w:sz w:val="24"/>
                <w:szCs w:val="24"/>
              </w:rPr>
            </w:pPr>
          </w:p>
        </w:tc>
        <w:tc>
          <w:tcPr>
            <w:tcW w:w="11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AC298A1">
            <w:pPr>
              <w:widowControl/>
              <w:spacing w:line="240" w:lineRule="auto"/>
              <w:jc w:val="right"/>
              <w:rPr>
                <w:rFonts w:hint="eastAsia" w:ascii="宋体" w:hAnsi="宋体" w:eastAsia="宋体" w:cs="宋体"/>
                <w:kern w:val="0"/>
                <w:sz w:val="24"/>
                <w:szCs w:val="24"/>
              </w:rPr>
            </w:pPr>
          </w:p>
        </w:tc>
      </w:tr>
      <w:tr w14:paraId="21437873">
        <w:tblPrEx>
          <w:tblCellMar>
            <w:top w:w="0" w:type="dxa"/>
            <w:left w:w="108" w:type="dxa"/>
            <w:bottom w:w="0" w:type="dxa"/>
            <w:right w:w="108" w:type="dxa"/>
          </w:tblCellMar>
        </w:tblPrEx>
        <w:trPr>
          <w:trHeight w:val="3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1602AC">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2130104</w:t>
            </w:r>
          </w:p>
        </w:tc>
        <w:tc>
          <w:tcPr>
            <w:tcW w:w="150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71F75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事业运行</w:t>
            </w:r>
          </w:p>
        </w:tc>
        <w:tc>
          <w:tcPr>
            <w:tcW w:w="10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4FC1A5">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 385.03</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E357E2">
            <w:pPr>
              <w:keepNext w:val="0"/>
              <w:keepLines w:val="0"/>
              <w:widowControl/>
              <w:suppressLineNumbers w:val="0"/>
              <w:jc w:val="righ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385.03</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D9941C">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p>
        </w:tc>
        <w:tc>
          <w:tcPr>
            <w:tcW w:w="1134" w:type="dxa"/>
            <w:tcBorders>
              <w:top w:val="single" w:color="auto" w:sz="4" w:space="0"/>
              <w:left w:val="nil"/>
              <w:bottom w:val="single" w:color="auto" w:sz="4" w:space="0"/>
              <w:right w:val="single" w:color="auto" w:sz="4" w:space="0"/>
            </w:tcBorders>
            <w:vAlign w:val="center"/>
          </w:tcPr>
          <w:p w14:paraId="5CC5372D">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E7C53F">
            <w:pPr>
              <w:widowControl/>
              <w:spacing w:line="240" w:lineRule="auto"/>
              <w:jc w:val="right"/>
              <w:rPr>
                <w:rFonts w:hint="eastAsia" w:ascii="宋体" w:hAnsi="宋体" w:eastAsia="宋体" w:cs="宋体"/>
                <w:kern w:val="0"/>
                <w:sz w:val="24"/>
                <w:szCs w:val="24"/>
              </w:rPr>
            </w:pPr>
          </w:p>
        </w:tc>
        <w:tc>
          <w:tcPr>
            <w:tcW w:w="859" w:type="dxa"/>
            <w:tcBorders>
              <w:top w:val="single" w:color="auto" w:sz="4" w:space="0"/>
              <w:left w:val="single" w:color="auto" w:sz="4" w:space="0"/>
              <w:bottom w:val="single" w:color="auto" w:sz="4" w:space="0"/>
              <w:right w:val="single" w:color="auto" w:sz="4" w:space="0"/>
            </w:tcBorders>
            <w:vAlign w:val="center"/>
          </w:tcPr>
          <w:p w14:paraId="1037D22A">
            <w:pPr>
              <w:widowControl/>
              <w:spacing w:line="240" w:lineRule="auto"/>
              <w:jc w:val="right"/>
              <w:rPr>
                <w:rFonts w:ascii="宋体" w:hAnsi="宋体" w:eastAsia="宋体" w:cs="宋体"/>
                <w:kern w:val="0"/>
                <w:sz w:val="24"/>
                <w:szCs w:val="24"/>
              </w:rPr>
            </w:pPr>
          </w:p>
        </w:tc>
        <w:tc>
          <w:tcPr>
            <w:tcW w:w="1126" w:type="dxa"/>
            <w:tcBorders>
              <w:top w:val="single" w:color="auto" w:sz="4" w:space="0"/>
              <w:left w:val="single" w:color="auto" w:sz="4" w:space="0"/>
              <w:bottom w:val="single" w:color="auto" w:sz="4" w:space="0"/>
              <w:right w:val="single" w:color="auto" w:sz="4" w:space="0"/>
            </w:tcBorders>
            <w:vAlign w:val="center"/>
          </w:tcPr>
          <w:p w14:paraId="5E5142D2">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156A50E8">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0C6DE640">
            <w:pPr>
              <w:widowControl/>
              <w:spacing w:line="240" w:lineRule="auto"/>
              <w:jc w:val="right"/>
              <w:rPr>
                <w:rFonts w:ascii="宋体" w:hAnsi="宋体" w:eastAsia="宋体" w:cs="宋体"/>
                <w:kern w:val="0"/>
                <w:sz w:val="24"/>
                <w:szCs w:val="24"/>
              </w:rPr>
            </w:pPr>
          </w:p>
        </w:tc>
        <w:tc>
          <w:tcPr>
            <w:tcW w:w="86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D39511">
            <w:pPr>
              <w:widowControl/>
              <w:spacing w:line="240" w:lineRule="auto"/>
              <w:jc w:val="right"/>
              <w:rPr>
                <w:rFonts w:hint="eastAsia" w:ascii="宋体" w:hAnsi="宋体" w:eastAsia="宋体" w:cs="宋体"/>
                <w:kern w:val="0"/>
                <w:sz w:val="24"/>
                <w:szCs w:val="24"/>
              </w:rPr>
            </w:pPr>
          </w:p>
        </w:tc>
        <w:tc>
          <w:tcPr>
            <w:tcW w:w="11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A98B1B4">
            <w:pPr>
              <w:widowControl/>
              <w:spacing w:line="240" w:lineRule="auto"/>
              <w:jc w:val="right"/>
              <w:rPr>
                <w:rFonts w:hint="eastAsia" w:ascii="宋体" w:hAnsi="宋体" w:eastAsia="宋体" w:cs="宋体"/>
                <w:kern w:val="0"/>
                <w:sz w:val="24"/>
                <w:szCs w:val="24"/>
              </w:rPr>
            </w:pPr>
          </w:p>
        </w:tc>
      </w:tr>
      <w:tr w14:paraId="361BFAC3">
        <w:tblPrEx>
          <w:tblCellMar>
            <w:top w:w="0" w:type="dxa"/>
            <w:left w:w="108" w:type="dxa"/>
            <w:bottom w:w="0" w:type="dxa"/>
            <w:right w:w="108" w:type="dxa"/>
          </w:tblCellMar>
        </w:tblPrEx>
        <w:trPr>
          <w:trHeight w:val="36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AC43CA">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221</w:t>
            </w:r>
          </w:p>
        </w:tc>
        <w:tc>
          <w:tcPr>
            <w:tcW w:w="150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E4E769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住房保障支出</w:t>
            </w:r>
          </w:p>
        </w:tc>
        <w:tc>
          <w:tcPr>
            <w:tcW w:w="10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45D792">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39.15</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6F28AF">
            <w:pPr>
              <w:keepNext w:val="0"/>
              <w:keepLines w:val="0"/>
              <w:widowControl/>
              <w:suppressLineNumbers w:val="0"/>
              <w:jc w:val="righ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39.15</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BFECC2">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p>
        </w:tc>
        <w:tc>
          <w:tcPr>
            <w:tcW w:w="1134" w:type="dxa"/>
            <w:tcBorders>
              <w:top w:val="single" w:color="auto" w:sz="4" w:space="0"/>
              <w:left w:val="nil"/>
              <w:bottom w:val="single" w:color="auto" w:sz="4" w:space="0"/>
              <w:right w:val="single" w:color="auto" w:sz="4" w:space="0"/>
            </w:tcBorders>
            <w:vAlign w:val="center"/>
          </w:tcPr>
          <w:p w14:paraId="66465ED0">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39918F">
            <w:pPr>
              <w:widowControl/>
              <w:spacing w:line="240" w:lineRule="auto"/>
              <w:jc w:val="right"/>
              <w:rPr>
                <w:rFonts w:hint="eastAsia" w:ascii="宋体" w:hAnsi="宋体" w:eastAsia="宋体" w:cs="宋体"/>
                <w:kern w:val="0"/>
                <w:sz w:val="24"/>
                <w:szCs w:val="24"/>
              </w:rPr>
            </w:pPr>
          </w:p>
        </w:tc>
        <w:tc>
          <w:tcPr>
            <w:tcW w:w="859" w:type="dxa"/>
            <w:tcBorders>
              <w:top w:val="single" w:color="auto" w:sz="4" w:space="0"/>
              <w:left w:val="single" w:color="auto" w:sz="4" w:space="0"/>
              <w:bottom w:val="single" w:color="auto" w:sz="4" w:space="0"/>
              <w:right w:val="single" w:color="auto" w:sz="4" w:space="0"/>
            </w:tcBorders>
            <w:vAlign w:val="center"/>
          </w:tcPr>
          <w:p w14:paraId="507C71F7">
            <w:pPr>
              <w:widowControl/>
              <w:spacing w:line="240" w:lineRule="auto"/>
              <w:jc w:val="right"/>
              <w:rPr>
                <w:rFonts w:ascii="宋体" w:hAnsi="宋体" w:eastAsia="宋体" w:cs="宋体"/>
                <w:kern w:val="0"/>
                <w:sz w:val="24"/>
                <w:szCs w:val="24"/>
              </w:rPr>
            </w:pPr>
          </w:p>
        </w:tc>
        <w:tc>
          <w:tcPr>
            <w:tcW w:w="1126" w:type="dxa"/>
            <w:tcBorders>
              <w:top w:val="single" w:color="auto" w:sz="4" w:space="0"/>
              <w:left w:val="single" w:color="auto" w:sz="4" w:space="0"/>
              <w:bottom w:val="single" w:color="auto" w:sz="4" w:space="0"/>
              <w:right w:val="single" w:color="auto" w:sz="4" w:space="0"/>
            </w:tcBorders>
            <w:vAlign w:val="center"/>
          </w:tcPr>
          <w:p w14:paraId="5C0C6D00">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4D70F286">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0EABC3A4">
            <w:pPr>
              <w:widowControl/>
              <w:spacing w:line="240" w:lineRule="auto"/>
              <w:jc w:val="right"/>
              <w:rPr>
                <w:rFonts w:ascii="宋体" w:hAnsi="宋体" w:eastAsia="宋体" w:cs="宋体"/>
                <w:kern w:val="0"/>
                <w:sz w:val="24"/>
                <w:szCs w:val="24"/>
              </w:rPr>
            </w:pPr>
          </w:p>
        </w:tc>
        <w:tc>
          <w:tcPr>
            <w:tcW w:w="86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217738">
            <w:pPr>
              <w:widowControl/>
              <w:spacing w:line="240" w:lineRule="auto"/>
              <w:jc w:val="right"/>
              <w:rPr>
                <w:rFonts w:hint="eastAsia" w:ascii="宋体" w:hAnsi="宋体" w:eastAsia="宋体" w:cs="宋体"/>
                <w:kern w:val="0"/>
                <w:sz w:val="24"/>
                <w:szCs w:val="24"/>
              </w:rPr>
            </w:pPr>
          </w:p>
        </w:tc>
        <w:tc>
          <w:tcPr>
            <w:tcW w:w="11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9AC6B79">
            <w:pPr>
              <w:widowControl/>
              <w:spacing w:line="240" w:lineRule="auto"/>
              <w:jc w:val="right"/>
              <w:rPr>
                <w:rFonts w:hint="eastAsia" w:ascii="宋体" w:hAnsi="宋体" w:eastAsia="宋体" w:cs="宋体"/>
                <w:kern w:val="0"/>
                <w:sz w:val="24"/>
                <w:szCs w:val="24"/>
              </w:rPr>
            </w:pPr>
          </w:p>
        </w:tc>
      </w:tr>
      <w:tr w14:paraId="5201BA91">
        <w:tblPrEx>
          <w:tblCellMar>
            <w:top w:w="0" w:type="dxa"/>
            <w:left w:w="108" w:type="dxa"/>
            <w:bottom w:w="0" w:type="dxa"/>
            <w:right w:w="108" w:type="dxa"/>
          </w:tblCellMar>
        </w:tblPrEx>
        <w:trPr>
          <w:trHeight w:val="18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7F678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22102</w:t>
            </w:r>
          </w:p>
        </w:tc>
        <w:tc>
          <w:tcPr>
            <w:tcW w:w="150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4FB41A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住房改革支出</w:t>
            </w:r>
          </w:p>
        </w:tc>
        <w:tc>
          <w:tcPr>
            <w:tcW w:w="10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86D8C5">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39.15</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1E883D">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39.15</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40DA79">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p>
        </w:tc>
        <w:tc>
          <w:tcPr>
            <w:tcW w:w="1134" w:type="dxa"/>
            <w:tcBorders>
              <w:top w:val="single" w:color="auto" w:sz="4" w:space="0"/>
              <w:left w:val="nil"/>
              <w:bottom w:val="single" w:color="auto" w:sz="4" w:space="0"/>
              <w:right w:val="single" w:color="auto" w:sz="4" w:space="0"/>
            </w:tcBorders>
            <w:vAlign w:val="center"/>
          </w:tcPr>
          <w:p w14:paraId="73304CB4">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5B133B">
            <w:pPr>
              <w:widowControl/>
              <w:spacing w:line="240" w:lineRule="auto"/>
              <w:jc w:val="right"/>
              <w:rPr>
                <w:rFonts w:hint="eastAsia" w:ascii="宋体" w:hAnsi="宋体" w:eastAsia="宋体" w:cs="宋体"/>
                <w:kern w:val="0"/>
                <w:sz w:val="24"/>
                <w:szCs w:val="24"/>
              </w:rPr>
            </w:pPr>
          </w:p>
        </w:tc>
        <w:tc>
          <w:tcPr>
            <w:tcW w:w="859" w:type="dxa"/>
            <w:tcBorders>
              <w:top w:val="single" w:color="auto" w:sz="4" w:space="0"/>
              <w:left w:val="single" w:color="auto" w:sz="4" w:space="0"/>
              <w:bottom w:val="single" w:color="auto" w:sz="4" w:space="0"/>
              <w:right w:val="single" w:color="auto" w:sz="4" w:space="0"/>
            </w:tcBorders>
            <w:vAlign w:val="center"/>
          </w:tcPr>
          <w:p w14:paraId="590FF105">
            <w:pPr>
              <w:widowControl/>
              <w:spacing w:line="240" w:lineRule="auto"/>
              <w:jc w:val="right"/>
              <w:rPr>
                <w:rFonts w:ascii="宋体" w:hAnsi="宋体" w:eastAsia="宋体" w:cs="宋体"/>
                <w:kern w:val="0"/>
                <w:sz w:val="24"/>
                <w:szCs w:val="24"/>
              </w:rPr>
            </w:pPr>
          </w:p>
        </w:tc>
        <w:tc>
          <w:tcPr>
            <w:tcW w:w="1126" w:type="dxa"/>
            <w:tcBorders>
              <w:top w:val="single" w:color="auto" w:sz="4" w:space="0"/>
              <w:left w:val="single" w:color="auto" w:sz="4" w:space="0"/>
              <w:bottom w:val="single" w:color="auto" w:sz="4" w:space="0"/>
              <w:right w:val="single" w:color="auto" w:sz="4" w:space="0"/>
            </w:tcBorders>
            <w:vAlign w:val="center"/>
          </w:tcPr>
          <w:p w14:paraId="45870999">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623A1693">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122E13F6">
            <w:pPr>
              <w:widowControl/>
              <w:spacing w:line="240" w:lineRule="auto"/>
              <w:jc w:val="right"/>
              <w:rPr>
                <w:rFonts w:ascii="宋体" w:hAnsi="宋体" w:eastAsia="宋体" w:cs="宋体"/>
                <w:kern w:val="0"/>
                <w:sz w:val="24"/>
                <w:szCs w:val="24"/>
              </w:rPr>
            </w:pPr>
          </w:p>
        </w:tc>
        <w:tc>
          <w:tcPr>
            <w:tcW w:w="86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C635FD">
            <w:pPr>
              <w:widowControl/>
              <w:spacing w:line="240" w:lineRule="auto"/>
              <w:jc w:val="right"/>
              <w:rPr>
                <w:rFonts w:hint="eastAsia" w:ascii="宋体" w:hAnsi="宋体" w:eastAsia="宋体" w:cs="宋体"/>
                <w:kern w:val="0"/>
                <w:sz w:val="24"/>
                <w:szCs w:val="24"/>
              </w:rPr>
            </w:pPr>
          </w:p>
        </w:tc>
        <w:tc>
          <w:tcPr>
            <w:tcW w:w="11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1FA32DD">
            <w:pPr>
              <w:widowControl/>
              <w:spacing w:line="240" w:lineRule="auto"/>
              <w:jc w:val="right"/>
              <w:rPr>
                <w:rFonts w:hint="eastAsia" w:ascii="宋体" w:hAnsi="宋体" w:eastAsia="宋体" w:cs="宋体"/>
                <w:kern w:val="0"/>
                <w:sz w:val="24"/>
                <w:szCs w:val="24"/>
              </w:rPr>
            </w:pPr>
          </w:p>
        </w:tc>
      </w:tr>
      <w:tr w14:paraId="16DAB704">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853DF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2210201</w:t>
            </w:r>
          </w:p>
        </w:tc>
        <w:tc>
          <w:tcPr>
            <w:tcW w:w="150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7CB2EB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住房公积金</w:t>
            </w:r>
          </w:p>
        </w:tc>
        <w:tc>
          <w:tcPr>
            <w:tcW w:w="10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217096">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39.15</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F25036">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39.15</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15B081">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p>
        </w:tc>
        <w:tc>
          <w:tcPr>
            <w:tcW w:w="1134" w:type="dxa"/>
            <w:tcBorders>
              <w:top w:val="single" w:color="auto" w:sz="4" w:space="0"/>
              <w:left w:val="nil"/>
              <w:bottom w:val="single" w:color="auto" w:sz="4" w:space="0"/>
              <w:right w:val="single" w:color="auto" w:sz="4" w:space="0"/>
            </w:tcBorders>
            <w:vAlign w:val="center"/>
          </w:tcPr>
          <w:p w14:paraId="62DF2FE4">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77D592">
            <w:pPr>
              <w:widowControl/>
              <w:spacing w:line="240" w:lineRule="auto"/>
              <w:jc w:val="right"/>
              <w:rPr>
                <w:rFonts w:hint="eastAsia" w:ascii="宋体" w:hAnsi="宋体" w:eastAsia="宋体" w:cs="宋体"/>
                <w:kern w:val="0"/>
                <w:sz w:val="24"/>
                <w:szCs w:val="24"/>
              </w:rPr>
            </w:pPr>
          </w:p>
        </w:tc>
        <w:tc>
          <w:tcPr>
            <w:tcW w:w="859" w:type="dxa"/>
            <w:tcBorders>
              <w:top w:val="single" w:color="auto" w:sz="4" w:space="0"/>
              <w:left w:val="single" w:color="auto" w:sz="4" w:space="0"/>
              <w:bottom w:val="single" w:color="auto" w:sz="4" w:space="0"/>
              <w:right w:val="single" w:color="auto" w:sz="4" w:space="0"/>
            </w:tcBorders>
            <w:vAlign w:val="center"/>
          </w:tcPr>
          <w:p w14:paraId="67F08487">
            <w:pPr>
              <w:widowControl/>
              <w:spacing w:line="240" w:lineRule="auto"/>
              <w:jc w:val="right"/>
              <w:rPr>
                <w:rFonts w:ascii="宋体" w:hAnsi="宋体" w:eastAsia="宋体" w:cs="宋体"/>
                <w:kern w:val="0"/>
                <w:sz w:val="24"/>
                <w:szCs w:val="24"/>
              </w:rPr>
            </w:pPr>
          </w:p>
        </w:tc>
        <w:tc>
          <w:tcPr>
            <w:tcW w:w="1126" w:type="dxa"/>
            <w:tcBorders>
              <w:top w:val="single" w:color="auto" w:sz="4" w:space="0"/>
              <w:left w:val="single" w:color="auto" w:sz="4" w:space="0"/>
              <w:bottom w:val="single" w:color="auto" w:sz="4" w:space="0"/>
              <w:right w:val="single" w:color="auto" w:sz="4" w:space="0"/>
            </w:tcBorders>
            <w:vAlign w:val="center"/>
          </w:tcPr>
          <w:p w14:paraId="6E55737A">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6070AB88">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016548DD">
            <w:pPr>
              <w:widowControl/>
              <w:spacing w:line="240" w:lineRule="auto"/>
              <w:jc w:val="right"/>
              <w:rPr>
                <w:rFonts w:ascii="宋体" w:hAnsi="宋体" w:eastAsia="宋体" w:cs="宋体"/>
                <w:kern w:val="0"/>
                <w:sz w:val="24"/>
                <w:szCs w:val="24"/>
              </w:rPr>
            </w:pPr>
          </w:p>
        </w:tc>
        <w:tc>
          <w:tcPr>
            <w:tcW w:w="86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65CF95">
            <w:pPr>
              <w:widowControl/>
              <w:spacing w:line="240" w:lineRule="auto"/>
              <w:jc w:val="right"/>
              <w:rPr>
                <w:rFonts w:hint="eastAsia" w:ascii="宋体" w:hAnsi="宋体" w:eastAsia="宋体" w:cs="宋体"/>
                <w:kern w:val="0"/>
                <w:sz w:val="24"/>
                <w:szCs w:val="24"/>
              </w:rPr>
            </w:pPr>
          </w:p>
        </w:tc>
        <w:tc>
          <w:tcPr>
            <w:tcW w:w="11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FB69E1F">
            <w:pPr>
              <w:widowControl/>
              <w:spacing w:line="240" w:lineRule="auto"/>
              <w:jc w:val="right"/>
              <w:rPr>
                <w:rFonts w:hint="eastAsia" w:ascii="宋体" w:hAnsi="宋体" w:eastAsia="宋体" w:cs="宋体"/>
                <w:kern w:val="0"/>
                <w:sz w:val="24"/>
                <w:szCs w:val="24"/>
              </w:rPr>
            </w:pPr>
          </w:p>
        </w:tc>
      </w:tr>
    </w:tbl>
    <w:p w14:paraId="6227C407">
      <w:pPr>
        <w:tabs>
          <w:tab w:val="left" w:pos="7513"/>
        </w:tabs>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75CE74A0">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三、支出预算总表</w:t>
      </w:r>
    </w:p>
    <w:tbl>
      <w:tblPr>
        <w:tblStyle w:val="11"/>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0AF40C7B">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5ADF8AA7">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年度支出预算总表</w:t>
            </w:r>
          </w:p>
          <w:p w14:paraId="32BB1989">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单位：万元</w:t>
            </w:r>
          </w:p>
        </w:tc>
      </w:tr>
      <w:tr w14:paraId="5EC208BD">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50A2EC79">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39CD48FC">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17E389AB">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2EA027C2">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479E35E">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6DFD578C">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4680AD85">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3C385BBF">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对附属单位补助支出</w:t>
            </w:r>
          </w:p>
        </w:tc>
      </w:tr>
      <w:tr w14:paraId="18E7FACD">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AF80949">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692A007C">
            <w:pPr>
              <w:keepNext w:val="0"/>
              <w:keepLines w:val="0"/>
              <w:widowControl/>
              <w:suppressLineNumbers w:val="0"/>
              <w:jc w:val="righ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962.55</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684D4DBD">
            <w:pPr>
              <w:keepNext w:val="0"/>
              <w:keepLines w:val="0"/>
              <w:widowControl/>
              <w:suppressLineNumbers w:val="0"/>
              <w:jc w:val="righ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712.55</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325FF6F6">
            <w:pPr>
              <w:keepNext w:val="0"/>
              <w:keepLines w:val="0"/>
              <w:widowControl/>
              <w:suppressLineNumbers w:val="0"/>
              <w:jc w:val="righ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250.00</w:t>
            </w:r>
          </w:p>
        </w:tc>
        <w:tc>
          <w:tcPr>
            <w:tcW w:w="1559" w:type="dxa"/>
            <w:tcBorders>
              <w:top w:val="single" w:color="auto" w:sz="4" w:space="0"/>
              <w:left w:val="nil"/>
              <w:bottom w:val="single" w:color="auto" w:sz="4" w:space="0"/>
              <w:right w:val="single" w:color="auto" w:sz="4" w:space="0"/>
            </w:tcBorders>
            <w:vAlign w:val="center"/>
          </w:tcPr>
          <w:p w14:paraId="34808D9E">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0D7428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6EFE7AF">
            <w:pPr>
              <w:widowControl/>
              <w:spacing w:line="240" w:lineRule="auto"/>
              <w:jc w:val="right"/>
              <w:rPr>
                <w:rFonts w:ascii="宋体" w:hAnsi="宋体" w:eastAsia="宋体" w:cs="宋体"/>
                <w:color w:val="000000"/>
                <w:kern w:val="0"/>
                <w:sz w:val="22"/>
              </w:rPr>
            </w:pPr>
          </w:p>
        </w:tc>
      </w:tr>
      <w:tr w14:paraId="5F2749FC">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59DFE772">
            <w:pPr>
              <w:keepNext w:val="0"/>
              <w:keepLines w:val="0"/>
              <w:widowControl/>
              <w:suppressLineNumbers w:val="0"/>
              <w:jc w:val="center"/>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201</w:t>
            </w:r>
          </w:p>
        </w:tc>
        <w:tc>
          <w:tcPr>
            <w:tcW w:w="3118" w:type="dxa"/>
            <w:tcBorders>
              <w:top w:val="single" w:color="auto" w:sz="4" w:space="0"/>
              <w:left w:val="nil"/>
              <w:bottom w:val="single" w:color="auto" w:sz="4" w:space="0"/>
              <w:right w:val="single" w:color="auto" w:sz="4" w:space="0"/>
            </w:tcBorders>
            <w:shd w:val="clear" w:color="auto" w:fill="auto"/>
            <w:vAlign w:val="center"/>
          </w:tcPr>
          <w:p w14:paraId="7CA01339">
            <w:pPr>
              <w:keepNext w:val="0"/>
              <w:keepLines w:val="0"/>
              <w:widowControl/>
              <w:suppressLineNumbers w:val="0"/>
              <w:jc w:val="center"/>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一般公共服务支出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38E8426A">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538.37　</w:t>
            </w:r>
          </w:p>
        </w:tc>
        <w:tc>
          <w:tcPr>
            <w:tcW w:w="1559" w:type="dxa"/>
            <w:tcBorders>
              <w:top w:val="single" w:color="auto" w:sz="4" w:space="0"/>
              <w:left w:val="nil"/>
              <w:bottom w:val="single" w:color="auto" w:sz="4" w:space="0"/>
              <w:right w:val="single" w:color="auto" w:sz="4" w:space="0"/>
            </w:tcBorders>
            <w:shd w:val="clear" w:color="auto" w:fill="auto"/>
            <w:vAlign w:val="center"/>
          </w:tcPr>
          <w:p w14:paraId="6FBCB081">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288.37</w:t>
            </w:r>
          </w:p>
        </w:tc>
        <w:tc>
          <w:tcPr>
            <w:tcW w:w="1560" w:type="dxa"/>
            <w:tcBorders>
              <w:top w:val="single" w:color="auto" w:sz="4" w:space="0"/>
              <w:left w:val="nil"/>
              <w:bottom w:val="single" w:color="auto" w:sz="4" w:space="0"/>
              <w:right w:val="single" w:color="auto" w:sz="4" w:space="0"/>
            </w:tcBorders>
            <w:shd w:val="clear" w:color="auto" w:fill="auto"/>
            <w:vAlign w:val="center"/>
          </w:tcPr>
          <w:p w14:paraId="729F4486">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250.00</w:t>
            </w:r>
          </w:p>
        </w:tc>
        <w:tc>
          <w:tcPr>
            <w:tcW w:w="1559" w:type="dxa"/>
            <w:tcBorders>
              <w:top w:val="single" w:color="auto" w:sz="4" w:space="0"/>
              <w:left w:val="nil"/>
              <w:bottom w:val="single" w:color="auto" w:sz="4" w:space="0"/>
              <w:right w:val="single" w:color="auto" w:sz="4" w:space="0"/>
            </w:tcBorders>
            <w:vAlign w:val="center"/>
          </w:tcPr>
          <w:p w14:paraId="00EBE0C3">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438D867">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F097AF1">
            <w:pPr>
              <w:widowControl/>
              <w:spacing w:line="240" w:lineRule="auto"/>
              <w:jc w:val="right"/>
              <w:rPr>
                <w:rFonts w:ascii="宋体" w:hAnsi="宋体" w:eastAsia="宋体" w:cs="宋体"/>
                <w:color w:val="000000"/>
                <w:kern w:val="0"/>
                <w:sz w:val="22"/>
              </w:rPr>
            </w:pPr>
          </w:p>
        </w:tc>
      </w:tr>
      <w:tr w14:paraId="50729BAD">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6ADFF025">
            <w:pPr>
              <w:keepNext w:val="0"/>
              <w:keepLines w:val="0"/>
              <w:widowControl/>
              <w:suppressLineNumbers w:val="0"/>
              <w:jc w:val="center"/>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20103</w:t>
            </w:r>
          </w:p>
        </w:tc>
        <w:tc>
          <w:tcPr>
            <w:tcW w:w="3118" w:type="dxa"/>
            <w:tcBorders>
              <w:top w:val="single" w:color="auto" w:sz="4" w:space="0"/>
              <w:left w:val="nil"/>
              <w:bottom w:val="single" w:color="auto" w:sz="4" w:space="0"/>
              <w:right w:val="single" w:color="auto" w:sz="4" w:space="0"/>
            </w:tcBorders>
            <w:shd w:val="clear" w:color="auto" w:fill="auto"/>
            <w:vAlign w:val="center"/>
          </w:tcPr>
          <w:p w14:paraId="2279187C">
            <w:pPr>
              <w:keepNext w:val="0"/>
              <w:keepLines w:val="0"/>
              <w:widowControl/>
              <w:suppressLineNumbers w:val="0"/>
              <w:jc w:val="center"/>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政府办公厅(室)及相关机构事务</w:t>
            </w:r>
          </w:p>
        </w:tc>
        <w:tc>
          <w:tcPr>
            <w:tcW w:w="1559" w:type="dxa"/>
            <w:tcBorders>
              <w:top w:val="single" w:color="auto" w:sz="4" w:space="0"/>
              <w:left w:val="nil"/>
              <w:bottom w:val="single" w:color="auto" w:sz="4" w:space="0"/>
              <w:right w:val="single" w:color="auto" w:sz="4" w:space="0"/>
            </w:tcBorders>
            <w:shd w:val="clear" w:color="auto" w:fill="auto"/>
            <w:vAlign w:val="center"/>
          </w:tcPr>
          <w:p w14:paraId="1148D2E8">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538.37　</w:t>
            </w:r>
          </w:p>
        </w:tc>
        <w:tc>
          <w:tcPr>
            <w:tcW w:w="1559" w:type="dxa"/>
            <w:tcBorders>
              <w:top w:val="single" w:color="auto" w:sz="4" w:space="0"/>
              <w:left w:val="nil"/>
              <w:bottom w:val="single" w:color="auto" w:sz="4" w:space="0"/>
              <w:right w:val="single" w:color="auto" w:sz="4" w:space="0"/>
            </w:tcBorders>
            <w:shd w:val="clear" w:color="auto" w:fill="auto"/>
            <w:vAlign w:val="center"/>
          </w:tcPr>
          <w:p w14:paraId="442254FB">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288.37</w:t>
            </w:r>
          </w:p>
        </w:tc>
        <w:tc>
          <w:tcPr>
            <w:tcW w:w="1560" w:type="dxa"/>
            <w:tcBorders>
              <w:top w:val="single" w:color="auto" w:sz="4" w:space="0"/>
              <w:left w:val="nil"/>
              <w:bottom w:val="single" w:color="auto" w:sz="4" w:space="0"/>
              <w:right w:val="single" w:color="auto" w:sz="4" w:space="0"/>
            </w:tcBorders>
            <w:shd w:val="clear" w:color="auto" w:fill="auto"/>
            <w:vAlign w:val="center"/>
          </w:tcPr>
          <w:p w14:paraId="585B8862">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250.00</w:t>
            </w:r>
          </w:p>
        </w:tc>
        <w:tc>
          <w:tcPr>
            <w:tcW w:w="1559" w:type="dxa"/>
            <w:tcBorders>
              <w:top w:val="single" w:color="auto" w:sz="4" w:space="0"/>
              <w:left w:val="nil"/>
              <w:bottom w:val="single" w:color="auto" w:sz="4" w:space="0"/>
              <w:right w:val="single" w:color="auto" w:sz="4" w:space="0"/>
            </w:tcBorders>
            <w:vAlign w:val="center"/>
          </w:tcPr>
          <w:p w14:paraId="66B02513">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585B2CF">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FDCF509">
            <w:pPr>
              <w:widowControl/>
              <w:spacing w:line="240" w:lineRule="auto"/>
              <w:jc w:val="right"/>
              <w:rPr>
                <w:rFonts w:ascii="宋体" w:hAnsi="宋体" w:eastAsia="宋体" w:cs="宋体"/>
                <w:color w:val="000000"/>
                <w:kern w:val="0"/>
                <w:sz w:val="22"/>
              </w:rPr>
            </w:pPr>
          </w:p>
        </w:tc>
      </w:tr>
      <w:tr w14:paraId="72E8B6EB">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0D38AA">
            <w:pPr>
              <w:keepNext w:val="0"/>
              <w:keepLines w:val="0"/>
              <w:widowControl/>
              <w:suppressLineNumbers w:val="0"/>
              <w:jc w:val="center"/>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2010301</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2C586C16">
            <w:pPr>
              <w:keepNext w:val="0"/>
              <w:keepLines w:val="0"/>
              <w:widowControl/>
              <w:suppressLineNumbers w:val="0"/>
              <w:jc w:val="center"/>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行政运行</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7F74680C">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538.37　</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63F62F00">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288.37</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05A51AF3">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250.00</w:t>
            </w:r>
          </w:p>
        </w:tc>
        <w:tc>
          <w:tcPr>
            <w:tcW w:w="1559" w:type="dxa"/>
            <w:tcBorders>
              <w:top w:val="single" w:color="auto" w:sz="4" w:space="0"/>
              <w:left w:val="nil"/>
              <w:bottom w:val="single" w:color="auto" w:sz="4" w:space="0"/>
              <w:right w:val="single" w:color="auto" w:sz="4" w:space="0"/>
            </w:tcBorders>
            <w:vAlign w:val="center"/>
          </w:tcPr>
          <w:p w14:paraId="56D846A0">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F3DE26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0612ABA">
            <w:pPr>
              <w:widowControl/>
              <w:spacing w:line="240" w:lineRule="auto"/>
              <w:jc w:val="right"/>
              <w:rPr>
                <w:rFonts w:ascii="宋体" w:hAnsi="宋体" w:eastAsia="宋体" w:cs="宋体"/>
                <w:color w:val="000000"/>
                <w:kern w:val="0"/>
                <w:sz w:val="22"/>
              </w:rPr>
            </w:pPr>
          </w:p>
        </w:tc>
      </w:tr>
      <w:tr w14:paraId="549C061E">
        <w:tblPrEx>
          <w:tblCellMar>
            <w:top w:w="0" w:type="dxa"/>
            <w:left w:w="108" w:type="dxa"/>
            <w:bottom w:w="0" w:type="dxa"/>
            <w:right w:w="108" w:type="dxa"/>
          </w:tblCellMar>
        </w:tblPrEx>
        <w:trPr>
          <w:trHeight w:val="402"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7E9500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F402A3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农林水支出</w:t>
            </w:r>
          </w:p>
        </w:tc>
        <w:tc>
          <w:tcPr>
            <w:tcW w:w="1559" w:type="dxa"/>
            <w:tcBorders>
              <w:top w:val="single" w:color="auto" w:sz="4" w:space="0"/>
              <w:left w:val="single" w:color="auto" w:sz="4" w:space="0"/>
              <w:bottom w:val="single" w:color="auto" w:sz="4" w:space="0"/>
              <w:right w:val="single" w:color="auto" w:sz="4" w:space="0"/>
            </w:tcBorders>
          </w:tcPr>
          <w:p w14:paraId="66AADC11">
            <w:pPr>
              <w:keepNext w:val="0"/>
              <w:keepLines w:val="0"/>
              <w:widowControl/>
              <w:suppressLineNumbers w:val="0"/>
              <w:jc w:val="righ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385.03</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top"/>
          </w:tcPr>
          <w:p w14:paraId="27EBC76C">
            <w:pPr>
              <w:keepNext w:val="0"/>
              <w:keepLines w:val="0"/>
              <w:widowControl/>
              <w:suppressLineNumbers w:val="0"/>
              <w:jc w:val="righ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385.03</w:t>
            </w:r>
          </w:p>
        </w:tc>
        <w:tc>
          <w:tcPr>
            <w:tcW w:w="0" w:type="auto"/>
            <w:tcBorders>
              <w:top w:val="single" w:color="auto" w:sz="4" w:space="0"/>
              <w:left w:val="single" w:color="auto" w:sz="4" w:space="0"/>
              <w:bottom w:val="single" w:color="auto" w:sz="4" w:space="0"/>
              <w:right w:val="single" w:color="auto" w:sz="4" w:space="0"/>
            </w:tcBorders>
          </w:tcPr>
          <w:p w14:paraId="17AC4C5B">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p>
        </w:tc>
        <w:tc>
          <w:tcPr>
            <w:tcW w:w="0" w:type="auto"/>
            <w:tcBorders>
              <w:top w:val="single" w:color="auto" w:sz="4" w:space="0"/>
              <w:left w:val="single" w:color="auto" w:sz="4" w:space="0"/>
              <w:bottom w:val="single" w:color="auto" w:sz="4" w:space="0"/>
              <w:right w:val="single" w:color="auto" w:sz="4" w:space="0"/>
            </w:tcBorders>
          </w:tcPr>
          <w:p w14:paraId="39C58195">
            <w:pPr>
              <w:widowControl/>
              <w:spacing w:line="240" w:lineRule="auto"/>
              <w:jc w:val="right"/>
              <w:rPr>
                <w:rFonts w:ascii="宋体" w:hAnsi="宋体" w:eastAsia="宋体" w:cs="宋体"/>
                <w:color w:val="000000"/>
                <w:kern w:val="0"/>
                <w:sz w:val="22"/>
              </w:rPr>
            </w:pPr>
          </w:p>
        </w:tc>
        <w:tc>
          <w:tcPr>
            <w:tcW w:w="0" w:type="auto"/>
            <w:tcBorders>
              <w:top w:val="single" w:color="auto" w:sz="4" w:space="0"/>
              <w:left w:val="single" w:color="auto" w:sz="4" w:space="0"/>
              <w:bottom w:val="single" w:color="auto" w:sz="4" w:space="0"/>
              <w:right w:val="single" w:color="auto" w:sz="4" w:space="0"/>
            </w:tcBorders>
          </w:tcPr>
          <w:p w14:paraId="7FFA7764">
            <w:pPr>
              <w:widowControl/>
              <w:spacing w:line="240" w:lineRule="auto"/>
              <w:jc w:val="right"/>
              <w:rPr>
                <w:rFonts w:ascii="宋体" w:hAnsi="宋体" w:eastAsia="宋体" w:cs="宋体"/>
                <w:color w:val="000000"/>
                <w:kern w:val="0"/>
                <w:sz w:val="22"/>
              </w:rPr>
            </w:pPr>
          </w:p>
        </w:tc>
        <w:tc>
          <w:tcPr>
            <w:tcW w:w="0" w:type="auto"/>
            <w:tcBorders>
              <w:top w:val="single" w:color="auto" w:sz="4" w:space="0"/>
              <w:left w:val="single" w:color="auto" w:sz="4" w:space="0"/>
              <w:bottom w:val="single" w:color="auto" w:sz="4" w:space="0"/>
              <w:right w:val="single" w:color="auto" w:sz="4" w:space="0"/>
            </w:tcBorders>
          </w:tcPr>
          <w:p w14:paraId="2A9E2983">
            <w:pPr>
              <w:widowControl/>
              <w:spacing w:line="240" w:lineRule="auto"/>
              <w:jc w:val="right"/>
              <w:rPr>
                <w:rFonts w:ascii="宋体" w:hAnsi="宋体" w:eastAsia="宋体" w:cs="宋体"/>
                <w:color w:val="000000"/>
                <w:kern w:val="0"/>
                <w:sz w:val="22"/>
              </w:rPr>
            </w:pPr>
          </w:p>
        </w:tc>
      </w:tr>
      <w:tr w14:paraId="0560E08F">
        <w:tblPrEx>
          <w:tblCellMar>
            <w:top w:w="0" w:type="dxa"/>
            <w:left w:w="108" w:type="dxa"/>
            <w:bottom w:w="0" w:type="dxa"/>
            <w:right w:w="108" w:type="dxa"/>
          </w:tblCellMar>
        </w:tblPrEx>
        <w:trPr>
          <w:trHeight w:val="402"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03EA43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21301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1D8C1D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农业农村</w:t>
            </w:r>
          </w:p>
        </w:tc>
        <w:tc>
          <w:tcPr>
            <w:tcW w:w="1559" w:type="dxa"/>
            <w:tcBorders>
              <w:top w:val="single" w:color="auto" w:sz="4" w:space="0"/>
              <w:left w:val="single" w:color="auto" w:sz="4" w:space="0"/>
              <w:bottom w:val="single" w:color="auto" w:sz="4" w:space="0"/>
              <w:right w:val="single" w:color="auto" w:sz="4" w:space="0"/>
            </w:tcBorders>
          </w:tcPr>
          <w:p w14:paraId="4C4C3EFD">
            <w:pPr>
              <w:keepNext w:val="0"/>
              <w:keepLines w:val="0"/>
              <w:widowControl/>
              <w:suppressLineNumbers w:val="0"/>
              <w:jc w:val="righ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385.03</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top"/>
          </w:tcPr>
          <w:p w14:paraId="72FAF1A2">
            <w:pPr>
              <w:keepNext w:val="0"/>
              <w:keepLines w:val="0"/>
              <w:widowControl/>
              <w:suppressLineNumbers w:val="0"/>
              <w:jc w:val="righ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385.03</w:t>
            </w:r>
          </w:p>
        </w:tc>
        <w:tc>
          <w:tcPr>
            <w:tcW w:w="0" w:type="auto"/>
            <w:tcBorders>
              <w:top w:val="single" w:color="auto" w:sz="4" w:space="0"/>
              <w:left w:val="single" w:color="auto" w:sz="4" w:space="0"/>
              <w:bottom w:val="single" w:color="auto" w:sz="4" w:space="0"/>
              <w:right w:val="single" w:color="auto" w:sz="4" w:space="0"/>
            </w:tcBorders>
          </w:tcPr>
          <w:p w14:paraId="6D7D12ED">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p>
        </w:tc>
        <w:tc>
          <w:tcPr>
            <w:tcW w:w="0" w:type="auto"/>
            <w:tcBorders>
              <w:top w:val="single" w:color="auto" w:sz="4" w:space="0"/>
              <w:left w:val="single" w:color="auto" w:sz="4" w:space="0"/>
              <w:bottom w:val="single" w:color="auto" w:sz="4" w:space="0"/>
              <w:right w:val="single" w:color="auto" w:sz="4" w:space="0"/>
            </w:tcBorders>
          </w:tcPr>
          <w:p w14:paraId="28648C31">
            <w:pPr>
              <w:widowControl/>
              <w:spacing w:line="240" w:lineRule="auto"/>
              <w:jc w:val="right"/>
              <w:rPr>
                <w:rFonts w:ascii="宋体" w:hAnsi="宋体" w:eastAsia="宋体" w:cs="宋体"/>
                <w:color w:val="000000"/>
                <w:kern w:val="0"/>
                <w:sz w:val="22"/>
              </w:rPr>
            </w:pPr>
          </w:p>
        </w:tc>
        <w:tc>
          <w:tcPr>
            <w:tcW w:w="0" w:type="auto"/>
            <w:tcBorders>
              <w:top w:val="single" w:color="auto" w:sz="4" w:space="0"/>
              <w:left w:val="single" w:color="auto" w:sz="4" w:space="0"/>
              <w:bottom w:val="single" w:color="auto" w:sz="4" w:space="0"/>
              <w:right w:val="single" w:color="auto" w:sz="4" w:space="0"/>
            </w:tcBorders>
          </w:tcPr>
          <w:p w14:paraId="0C7FAA58">
            <w:pPr>
              <w:widowControl/>
              <w:spacing w:line="240" w:lineRule="auto"/>
              <w:jc w:val="right"/>
              <w:rPr>
                <w:rFonts w:ascii="宋体" w:hAnsi="宋体" w:eastAsia="宋体" w:cs="宋体"/>
                <w:color w:val="000000"/>
                <w:kern w:val="0"/>
                <w:sz w:val="22"/>
              </w:rPr>
            </w:pPr>
          </w:p>
        </w:tc>
        <w:tc>
          <w:tcPr>
            <w:tcW w:w="0" w:type="auto"/>
            <w:tcBorders>
              <w:top w:val="single" w:color="auto" w:sz="4" w:space="0"/>
              <w:left w:val="single" w:color="auto" w:sz="4" w:space="0"/>
              <w:bottom w:val="single" w:color="auto" w:sz="4" w:space="0"/>
              <w:right w:val="single" w:color="auto" w:sz="4" w:space="0"/>
            </w:tcBorders>
          </w:tcPr>
          <w:p w14:paraId="3E585CFC">
            <w:pPr>
              <w:widowControl/>
              <w:spacing w:line="240" w:lineRule="auto"/>
              <w:jc w:val="right"/>
              <w:rPr>
                <w:rFonts w:ascii="宋体" w:hAnsi="宋体" w:eastAsia="宋体" w:cs="宋体"/>
                <w:color w:val="000000"/>
                <w:kern w:val="0"/>
                <w:sz w:val="22"/>
              </w:rPr>
            </w:pPr>
          </w:p>
        </w:tc>
      </w:tr>
      <w:tr w14:paraId="6B92B839">
        <w:tblPrEx>
          <w:tblCellMar>
            <w:top w:w="0" w:type="dxa"/>
            <w:left w:w="108" w:type="dxa"/>
            <w:bottom w:w="0" w:type="dxa"/>
            <w:right w:w="108" w:type="dxa"/>
          </w:tblCellMar>
        </w:tblPrEx>
        <w:trPr>
          <w:trHeight w:val="402"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9E636F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2130104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5E3EC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事业运行</w:t>
            </w:r>
          </w:p>
        </w:tc>
        <w:tc>
          <w:tcPr>
            <w:tcW w:w="1559" w:type="dxa"/>
            <w:tcBorders>
              <w:top w:val="single" w:color="auto" w:sz="4" w:space="0"/>
              <w:left w:val="single" w:color="auto" w:sz="4" w:space="0"/>
              <w:bottom w:val="single" w:color="auto" w:sz="4" w:space="0"/>
              <w:right w:val="single" w:color="auto" w:sz="4" w:space="0"/>
            </w:tcBorders>
          </w:tcPr>
          <w:p w14:paraId="3A465A64">
            <w:pPr>
              <w:keepNext w:val="0"/>
              <w:keepLines w:val="0"/>
              <w:widowControl/>
              <w:suppressLineNumbers w:val="0"/>
              <w:jc w:val="righ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385.03</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top"/>
          </w:tcPr>
          <w:p w14:paraId="092DFBB0">
            <w:pPr>
              <w:keepNext w:val="0"/>
              <w:keepLines w:val="0"/>
              <w:widowControl/>
              <w:suppressLineNumbers w:val="0"/>
              <w:jc w:val="righ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385.03</w:t>
            </w:r>
          </w:p>
        </w:tc>
        <w:tc>
          <w:tcPr>
            <w:tcW w:w="0" w:type="auto"/>
            <w:tcBorders>
              <w:top w:val="single" w:color="auto" w:sz="4" w:space="0"/>
              <w:left w:val="single" w:color="auto" w:sz="4" w:space="0"/>
              <w:bottom w:val="single" w:color="auto" w:sz="4" w:space="0"/>
              <w:right w:val="single" w:color="auto" w:sz="4" w:space="0"/>
            </w:tcBorders>
          </w:tcPr>
          <w:p w14:paraId="7B96DD9C">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p>
        </w:tc>
        <w:tc>
          <w:tcPr>
            <w:tcW w:w="0" w:type="auto"/>
            <w:tcBorders>
              <w:top w:val="single" w:color="auto" w:sz="4" w:space="0"/>
              <w:left w:val="single" w:color="auto" w:sz="4" w:space="0"/>
              <w:bottom w:val="single" w:color="auto" w:sz="4" w:space="0"/>
              <w:right w:val="single" w:color="auto" w:sz="4" w:space="0"/>
            </w:tcBorders>
          </w:tcPr>
          <w:p w14:paraId="6148D052">
            <w:pPr>
              <w:widowControl/>
              <w:spacing w:line="240" w:lineRule="auto"/>
              <w:jc w:val="right"/>
              <w:rPr>
                <w:rFonts w:ascii="宋体" w:hAnsi="宋体" w:eastAsia="宋体" w:cs="宋体"/>
                <w:color w:val="000000"/>
                <w:kern w:val="0"/>
                <w:sz w:val="22"/>
              </w:rPr>
            </w:pPr>
          </w:p>
        </w:tc>
        <w:tc>
          <w:tcPr>
            <w:tcW w:w="0" w:type="auto"/>
            <w:tcBorders>
              <w:top w:val="single" w:color="auto" w:sz="4" w:space="0"/>
              <w:left w:val="single" w:color="auto" w:sz="4" w:space="0"/>
              <w:bottom w:val="single" w:color="auto" w:sz="4" w:space="0"/>
              <w:right w:val="single" w:color="auto" w:sz="4" w:space="0"/>
            </w:tcBorders>
          </w:tcPr>
          <w:p w14:paraId="3569FA33">
            <w:pPr>
              <w:widowControl/>
              <w:spacing w:line="240" w:lineRule="auto"/>
              <w:jc w:val="right"/>
              <w:rPr>
                <w:rFonts w:ascii="宋体" w:hAnsi="宋体" w:eastAsia="宋体" w:cs="宋体"/>
                <w:color w:val="000000"/>
                <w:kern w:val="0"/>
                <w:sz w:val="22"/>
              </w:rPr>
            </w:pPr>
          </w:p>
        </w:tc>
        <w:tc>
          <w:tcPr>
            <w:tcW w:w="0" w:type="auto"/>
            <w:tcBorders>
              <w:top w:val="single" w:color="auto" w:sz="4" w:space="0"/>
              <w:left w:val="single" w:color="auto" w:sz="4" w:space="0"/>
              <w:bottom w:val="single" w:color="auto" w:sz="4" w:space="0"/>
              <w:right w:val="single" w:color="auto" w:sz="4" w:space="0"/>
            </w:tcBorders>
          </w:tcPr>
          <w:p w14:paraId="0444997A">
            <w:pPr>
              <w:widowControl/>
              <w:spacing w:line="240" w:lineRule="auto"/>
              <w:jc w:val="right"/>
              <w:rPr>
                <w:rFonts w:ascii="宋体" w:hAnsi="宋体" w:eastAsia="宋体" w:cs="宋体"/>
                <w:color w:val="000000"/>
                <w:kern w:val="0"/>
                <w:sz w:val="22"/>
              </w:rPr>
            </w:pPr>
          </w:p>
        </w:tc>
      </w:tr>
      <w:tr w14:paraId="5AAD5930">
        <w:tblPrEx>
          <w:tblCellMar>
            <w:top w:w="0" w:type="dxa"/>
            <w:left w:w="108" w:type="dxa"/>
            <w:bottom w:w="0" w:type="dxa"/>
            <w:right w:w="108" w:type="dxa"/>
          </w:tblCellMar>
        </w:tblPrEx>
        <w:trPr>
          <w:trHeight w:val="402"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7EB2DD2">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221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550134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住房保障支出</w:t>
            </w:r>
          </w:p>
        </w:tc>
        <w:tc>
          <w:tcPr>
            <w:tcW w:w="1559" w:type="dxa"/>
            <w:tcBorders>
              <w:top w:val="single" w:color="auto" w:sz="4" w:space="0"/>
              <w:left w:val="single" w:color="auto" w:sz="4" w:space="0"/>
              <w:bottom w:val="single" w:color="auto" w:sz="4" w:space="0"/>
              <w:right w:val="single" w:color="auto" w:sz="4" w:space="0"/>
            </w:tcBorders>
          </w:tcPr>
          <w:p w14:paraId="1F8951BA">
            <w:pPr>
              <w:keepNext w:val="0"/>
              <w:keepLines w:val="0"/>
              <w:widowControl/>
              <w:suppressLineNumbers w:val="0"/>
              <w:jc w:val="righ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39.15</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top"/>
          </w:tcPr>
          <w:p w14:paraId="40470505">
            <w:pPr>
              <w:keepNext w:val="0"/>
              <w:keepLines w:val="0"/>
              <w:widowControl/>
              <w:suppressLineNumbers w:val="0"/>
              <w:jc w:val="righ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39.15</w:t>
            </w:r>
          </w:p>
        </w:tc>
        <w:tc>
          <w:tcPr>
            <w:tcW w:w="0" w:type="auto"/>
            <w:tcBorders>
              <w:top w:val="single" w:color="auto" w:sz="4" w:space="0"/>
              <w:left w:val="single" w:color="auto" w:sz="4" w:space="0"/>
              <w:bottom w:val="single" w:color="auto" w:sz="4" w:space="0"/>
              <w:right w:val="single" w:color="auto" w:sz="4" w:space="0"/>
            </w:tcBorders>
          </w:tcPr>
          <w:p w14:paraId="0403095B">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p>
        </w:tc>
        <w:tc>
          <w:tcPr>
            <w:tcW w:w="0" w:type="auto"/>
            <w:tcBorders>
              <w:top w:val="single" w:color="auto" w:sz="4" w:space="0"/>
              <w:left w:val="single" w:color="auto" w:sz="4" w:space="0"/>
              <w:bottom w:val="single" w:color="auto" w:sz="4" w:space="0"/>
              <w:right w:val="single" w:color="auto" w:sz="4" w:space="0"/>
            </w:tcBorders>
          </w:tcPr>
          <w:p w14:paraId="61256531">
            <w:pPr>
              <w:widowControl/>
              <w:spacing w:line="240" w:lineRule="auto"/>
              <w:jc w:val="right"/>
              <w:rPr>
                <w:rFonts w:ascii="宋体" w:hAnsi="宋体" w:eastAsia="宋体" w:cs="宋体"/>
                <w:color w:val="000000"/>
                <w:kern w:val="0"/>
                <w:sz w:val="22"/>
              </w:rPr>
            </w:pPr>
          </w:p>
        </w:tc>
        <w:tc>
          <w:tcPr>
            <w:tcW w:w="0" w:type="auto"/>
            <w:tcBorders>
              <w:top w:val="single" w:color="auto" w:sz="4" w:space="0"/>
              <w:left w:val="single" w:color="auto" w:sz="4" w:space="0"/>
              <w:bottom w:val="single" w:color="auto" w:sz="4" w:space="0"/>
              <w:right w:val="single" w:color="auto" w:sz="4" w:space="0"/>
            </w:tcBorders>
          </w:tcPr>
          <w:p w14:paraId="64125153">
            <w:pPr>
              <w:widowControl/>
              <w:spacing w:line="240" w:lineRule="auto"/>
              <w:jc w:val="right"/>
              <w:rPr>
                <w:rFonts w:ascii="宋体" w:hAnsi="宋体" w:eastAsia="宋体" w:cs="宋体"/>
                <w:color w:val="000000"/>
                <w:kern w:val="0"/>
                <w:sz w:val="22"/>
              </w:rPr>
            </w:pPr>
          </w:p>
        </w:tc>
        <w:tc>
          <w:tcPr>
            <w:tcW w:w="0" w:type="auto"/>
            <w:tcBorders>
              <w:top w:val="single" w:color="auto" w:sz="4" w:space="0"/>
              <w:left w:val="single" w:color="auto" w:sz="4" w:space="0"/>
              <w:bottom w:val="single" w:color="auto" w:sz="4" w:space="0"/>
              <w:right w:val="single" w:color="auto" w:sz="4" w:space="0"/>
            </w:tcBorders>
          </w:tcPr>
          <w:p w14:paraId="5E2637BD">
            <w:pPr>
              <w:widowControl/>
              <w:spacing w:line="240" w:lineRule="auto"/>
              <w:jc w:val="right"/>
              <w:rPr>
                <w:rFonts w:ascii="宋体" w:hAnsi="宋体" w:eastAsia="宋体" w:cs="宋体"/>
                <w:color w:val="000000"/>
                <w:kern w:val="0"/>
                <w:sz w:val="22"/>
              </w:rPr>
            </w:pPr>
          </w:p>
        </w:tc>
      </w:tr>
      <w:tr w14:paraId="1AC7FADE">
        <w:tblPrEx>
          <w:tblCellMar>
            <w:top w:w="0" w:type="dxa"/>
            <w:left w:w="108" w:type="dxa"/>
            <w:bottom w:w="0" w:type="dxa"/>
            <w:right w:w="108" w:type="dxa"/>
          </w:tblCellMar>
        </w:tblPrEx>
        <w:trPr>
          <w:trHeight w:val="402"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A1A6BD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22102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B858AB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住房改革支出</w:t>
            </w:r>
          </w:p>
        </w:tc>
        <w:tc>
          <w:tcPr>
            <w:tcW w:w="1559" w:type="dxa"/>
            <w:tcBorders>
              <w:top w:val="single" w:color="auto" w:sz="4" w:space="0"/>
              <w:left w:val="single" w:color="auto" w:sz="4" w:space="0"/>
              <w:bottom w:val="single" w:color="auto" w:sz="4" w:space="0"/>
              <w:right w:val="single" w:color="auto" w:sz="4" w:space="0"/>
            </w:tcBorders>
          </w:tcPr>
          <w:p w14:paraId="42A768F0">
            <w:pPr>
              <w:keepNext w:val="0"/>
              <w:keepLines w:val="0"/>
              <w:widowControl/>
              <w:suppressLineNumbers w:val="0"/>
              <w:jc w:val="righ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39.15</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top"/>
          </w:tcPr>
          <w:p w14:paraId="4992E49D">
            <w:pPr>
              <w:keepNext w:val="0"/>
              <w:keepLines w:val="0"/>
              <w:widowControl/>
              <w:suppressLineNumbers w:val="0"/>
              <w:jc w:val="righ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39.15</w:t>
            </w:r>
          </w:p>
        </w:tc>
        <w:tc>
          <w:tcPr>
            <w:tcW w:w="0" w:type="auto"/>
            <w:tcBorders>
              <w:top w:val="single" w:color="auto" w:sz="4" w:space="0"/>
              <w:left w:val="single" w:color="auto" w:sz="4" w:space="0"/>
              <w:bottom w:val="single" w:color="auto" w:sz="4" w:space="0"/>
              <w:right w:val="single" w:color="auto" w:sz="4" w:space="0"/>
            </w:tcBorders>
          </w:tcPr>
          <w:p w14:paraId="2D388C16">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p>
        </w:tc>
        <w:tc>
          <w:tcPr>
            <w:tcW w:w="0" w:type="auto"/>
            <w:tcBorders>
              <w:top w:val="single" w:color="auto" w:sz="4" w:space="0"/>
              <w:left w:val="single" w:color="auto" w:sz="4" w:space="0"/>
              <w:bottom w:val="single" w:color="auto" w:sz="4" w:space="0"/>
              <w:right w:val="single" w:color="auto" w:sz="4" w:space="0"/>
            </w:tcBorders>
          </w:tcPr>
          <w:p w14:paraId="1B048E3E">
            <w:pPr>
              <w:widowControl/>
              <w:spacing w:line="240" w:lineRule="auto"/>
              <w:jc w:val="right"/>
              <w:rPr>
                <w:rFonts w:ascii="宋体" w:hAnsi="宋体" w:eastAsia="宋体" w:cs="宋体"/>
                <w:color w:val="000000"/>
                <w:kern w:val="0"/>
                <w:sz w:val="22"/>
              </w:rPr>
            </w:pPr>
          </w:p>
        </w:tc>
        <w:tc>
          <w:tcPr>
            <w:tcW w:w="0" w:type="auto"/>
            <w:tcBorders>
              <w:top w:val="single" w:color="auto" w:sz="4" w:space="0"/>
              <w:left w:val="single" w:color="auto" w:sz="4" w:space="0"/>
              <w:bottom w:val="single" w:color="auto" w:sz="4" w:space="0"/>
              <w:right w:val="single" w:color="auto" w:sz="4" w:space="0"/>
            </w:tcBorders>
          </w:tcPr>
          <w:p w14:paraId="6C5FE982">
            <w:pPr>
              <w:widowControl/>
              <w:spacing w:line="240" w:lineRule="auto"/>
              <w:jc w:val="right"/>
              <w:rPr>
                <w:rFonts w:ascii="宋体" w:hAnsi="宋体" w:eastAsia="宋体" w:cs="宋体"/>
                <w:color w:val="000000"/>
                <w:kern w:val="0"/>
                <w:sz w:val="22"/>
              </w:rPr>
            </w:pPr>
          </w:p>
        </w:tc>
        <w:tc>
          <w:tcPr>
            <w:tcW w:w="0" w:type="auto"/>
            <w:tcBorders>
              <w:top w:val="single" w:color="auto" w:sz="4" w:space="0"/>
              <w:left w:val="single" w:color="auto" w:sz="4" w:space="0"/>
              <w:bottom w:val="single" w:color="auto" w:sz="4" w:space="0"/>
              <w:right w:val="single" w:color="auto" w:sz="4" w:space="0"/>
            </w:tcBorders>
          </w:tcPr>
          <w:p w14:paraId="36D8AEB8">
            <w:pPr>
              <w:widowControl/>
              <w:spacing w:line="240" w:lineRule="auto"/>
              <w:jc w:val="right"/>
              <w:rPr>
                <w:rFonts w:ascii="宋体" w:hAnsi="宋体" w:eastAsia="宋体" w:cs="宋体"/>
                <w:color w:val="000000"/>
                <w:kern w:val="0"/>
                <w:sz w:val="22"/>
              </w:rPr>
            </w:pPr>
          </w:p>
        </w:tc>
      </w:tr>
      <w:tr w14:paraId="27C11483">
        <w:tblPrEx>
          <w:tblCellMar>
            <w:top w:w="0" w:type="dxa"/>
            <w:left w:w="108" w:type="dxa"/>
            <w:bottom w:w="0" w:type="dxa"/>
            <w:right w:w="108" w:type="dxa"/>
          </w:tblCellMar>
        </w:tblPrEx>
        <w:trPr>
          <w:trHeight w:val="402"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71F37F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2210201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1E68AF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住房公积金</w:t>
            </w:r>
          </w:p>
        </w:tc>
        <w:tc>
          <w:tcPr>
            <w:tcW w:w="1559" w:type="dxa"/>
            <w:tcBorders>
              <w:top w:val="single" w:color="auto" w:sz="4" w:space="0"/>
              <w:left w:val="single" w:color="auto" w:sz="4" w:space="0"/>
              <w:bottom w:val="single" w:color="auto" w:sz="4" w:space="0"/>
              <w:right w:val="single" w:color="auto" w:sz="4" w:space="0"/>
            </w:tcBorders>
          </w:tcPr>
          <w:p w14:paraId="7E579BE3">
            <w:pPr>
              <w:keepNext w:val="0"/>
              <w:keepLines w:val="0"/>
              <w:widowControl/>
              <w:suppressLineNumbers w:val="0"/>
              <w:jc w:val="righ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39.15</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top"/>
          </w:tcPr>
          <w:p w14:paraId="2248D2EE">
            <w:pPr>
              <w:keepNext w:val="0"/>
              <w:keepLines w:val="0"/>
              <w:widowControl/>
              <w:suppressLineNumbers w:val="0"/>
              <w:jc w:val="righ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39.15</w:t>
            </w:r>
          </w:p>
        </w:tc>
        <w:tc>
          <w:tcPr>
            <w:tcW w:w="0" w:type="auto"/>
            <w:tcBorders>
              <w:top w:val="single" w:color="auto" w:sz="4" w:space="0"/>
              <w:left w:val="single" w:color="auto" w:sz="4" w:space="0"/>
              <w:bottom w:val="single" w:color="auto" w:sz="4" w:space="0"/>
              <w:right w:val="single" w:color="auto" w:sz="4" w:space="0"/>
            </w:tcBorders>
          </w:tcPr>
          <w:p w14:paraId="4114BCC5">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p>
        </w:tc>
        <w:tc>
          <w:tcPr>
            <w:tcW w:w="0" w:type="auto"/>
            <w:tcBorders>
              <w:top w:val="single" w:color="auto" w:sz="4" w:space="0"/>
              <w:left w:val="single" w:color="auto" w:sz="4" w:space="0"/>
              <w:bottom w:val="single" w:color="auto" w:sz="4" w:space="0"/>
              <w:right w:val="single" w:color="auto" w:sz="4" w:space="0"/>
            </w:tcBorders>
          </w:tcPr>
          <w:p w14:paraId="23C3731D">
            <w:pPr>
              <w:widowControl/>
              <w:spacing w:line="240" w:lineRule="auto"/>
              <w:jc w:val="right"/>
              <w:rPr>
                <w:rFonts w:ascii="宋体" w:hAnsi="宋体" w:eastAsia="宋体" w:cs="宋体"/>
                <w:color w:val="000000"/>
                <w:kern w:val="0"/>
                <w:sz w:val="22"/>
              </w:rPr>
            </w:pPr>
          </w:p>
        </w:tc>
        <w:tc>
          <w:tcPr>
            <w:tcW w:w="0" w:type="auto"/>
            <w:tcBorders>
              <w:top w:val="single" w:color="auto" w:sz="4" w:space="0"/>
              <w:left w:val="single" w:color="auto" w:sz="4" w:space="0"/>
              <w:bottom w:val="single" w:color="auto" w:sz="4" w:space="0"/>
              <w:right w:val="single" w:color="auto" w:sz="4" w:space="0"/>
            </w:tcBorders>
          </w:tcPr>
          <w:p w14:paraId="386CA55C">
            <w:pPr>
              <w:widowControl/>
              <w:spacing w:line="240" w:lineRule="auto"/>
              <w:jc w:val="right"/>
              <w:rPr>
                <w:rFonts w:ascii="宋体" w:hAnsi="宋体" w:eastAsia="宋体" w:cs="宋体"/>
                <w:color w:val="000000"/>
                <w:kern w:val="0"/>
                <w:sz w:val="22"/>
              </w:rPr>
            </w:pPr>
          </w:p>
        </w:tc>
        <w:tc>
          <w:tcPr>
            <w:tcW w:w="0" w:type="auto"/>
            <w:tcBorders>
              <w:top w:val="single" w:color="auto" w:sz="4" w:space="0"/>
              <w:left w:val="single" w:color="auto" w:sz="4" w:space="0"/>
              <w:bottom w:val="single" w:color="auto" w:sz="4" w:space="0"/>
              <w:right w:val="single" w:color="auto" w:sz="4" w:space="0"/>
            </w:tcBorders>
          </w:tcPr>
          <w:p w14:paraId="387C99AE">
            <w:pPr>
              <w:widowControl/>
              <w:spacing w:line="240" w:lineRule="auto"/>
              <w:jc w:val="right"/>
              <w:rPr>
                <w:rFonts w:ascii="宋体" w:hAnsi="宋体" w:eastAsia="宋体" w:cs="宋体"/>
                <w:color w:val="000000"/>
                <w:kern w:val="0"/>
                <w:sz w:val="22"/>
              </w:rPr>
            </w:pPr>
          </w:p>
        </w:tc>
      </w:tr>
    </w:tbl>
    <w:p w14:paraId="53AF525C">
      <w:pPr>
        <w:widowControl/>
        <w:spacing w:line="300" w:lineRule="auto"/>
        <w:jc w:val="left"/>
        <w:rPr>
          <w:rFonts w:ascii="楷体" w:hAnsi="楷体" w:eastAsia="楷体" w:cs="Times New Roman"/>
          <w:kern w:val="0"/>
          <w:szCs w:val="21"/>
        </w:rPr>
      </w:pPr>
    </w:p>
    <w:p w14:paraId="417D3B78">
      <w:pPr>
        <w:tabs>
          <w:tab w:val="left" w:pos="7513"/>
        </w:tabs>
        <w:spacing w:line="300" w:lineRule="auto"/>
        <w:ind w:firstLine="424" w:firstLineChars="202"/>
        <w:jc w:val="left"/>
        <w:rPr>
          <w:rFonts w:ascii="楷体" w:hAnsi="楷体" w:eastAsia="楷体" w:cs="Times New Roman"/>
          <w:kern w:val="0"/>
          <w:szCs w:val="21"/>
        </w:rPr>
      </w:pPr>
    </w:p>
    <w:p w14:paraId="085E99F5">
      <w:pPr>
        <w:tabs>
          <w:tab w:val="left" w:pos="7513"/>
        </w:tabs>
        <w:spacing w:line="300" w:lineRule="auto"/>
        <w:ind w:firstLine="424" w:firstLineChars="202"/>
        <w:jc w:val="left"/>
        <w:rPr>
          <w:rFonts w:ascii="楷体" w:hAnsi="楷体" w:eastAsia="楷体" w:cs="Times New Roman"/>
          <w:kern w:val="0"/>
          <w:szCs w:val="21"/>
        </w:rPr>
      </w:pPr>
    </w:p>
    <w:p w14:paraId="628F669D">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159E6F42">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四、财政拨款收支预算总表</w:t>
      </w:r>
    </w:p>
    <w:tbl>
      <w:tblPr>
        <w:tblStyle w:val="11"/>
        <w:tblW w:w="8648" w:type="dxa"/>
        <w:tblInd w:w="-34" w:type="dxa"/>
        <w:tblLayout w:type="autofit"/>
        <w:tblCellMar>
          <w:top w:w="0" w:type="dxa"/>
          <w:left w:w="108" w:type="dxa"/>
          <w:bottom w:w="0" w:type="dxa"/>
          <w:right w:w="108" w:type="dxa"/>
        </w:tblCellMar>
      </w:tblPr>
      <w:tblGrid>
        <w:gridCol w:w="2977"/>
        <w:gridCol w:w="1276"/>
        <w:gridCol w:w="3119"/>
        <w:gridCol w:w="1276"/>
      </w:tblGrid>
      <w:tr w14:paraId="72A80707">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6AFFCA98">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年度财政拨款收支预算总表</w:t>
            </w:r>
          </w:p>
        </w:tc>
      </w:tr>
      <w:tr w14:paraId="2AE89090">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3ED223EA">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58BF0D65">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F2D8221">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68306A67">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支出</w:t>
            </w:r>
          </w:p>
        </w:tc>
      </w:tr>
      <w:tr w14:paraId="000CA41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6A4EA80">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5E2E91FA">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563354C9">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29D6EA5B">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预算数</w:t>
            </w:r>
          </w:p>
        </w:tc>
      </w:tr>
      <w:tr w14:paraId="73C7576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74523C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54CFD912">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712.55</w:t>
            </w:r>
          </w:p>
        </w:tc>
        <w:tc>
          <w:tcPr>
            <w:tcW w:w="3119" w:type="dxa"/>
            <w:tcBorders>
              <w:top w:val="nil"/>
              <w:left w:val="nil"/>
              <w:bottom w:val="single" w:color="auto" w:sz="4" w:space="0"/>
              <w:right w:val="single" w:color="auto" w:sz="4" w:space="0"/>
            </w:tcBorders>
            <w:shd w:val="clear" w:color="auto" w:fill="auto"/>
            <w:noWrap/>
            <w:vAlign w:val="center"/>
          </w:tcPr>
          <w:p w14:paraId="37520BA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3CBA151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288.37　</w:t>
            </w:r>
          </w:p>
        </w:tc>
      </w:tr>
      <w:tr w14:paraId="3CFDD39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6F94F5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27F1709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16DEE1F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7D2ACEF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1DBFB5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1FAC4F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3A39122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1BA255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02B9BB5A">
            <w:pPr>
              <w:widowControl/>
              <w:spacing w:line="240" w:lineRule="auto"/>
              <w:jc w:val="right"/>
              <w:rPr>
                <w:rFonts w:ascii="宋体" w:hAnsi="宋体" w:eastAsia="宋体" w:cs="宋体"/>
                <w:kern w:val="0"/>
                <w:sz w:val="18"/>
                <w:szCs w:val="18"/>
              </w:rPr>
            </w:pPr>
          </w:p>
        </w:tc>
      </w:tr>
      <w:tr w14:paraId="520A5B5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AC32D3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63B240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32AD5BD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1A836D6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D2D379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262FA6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767F76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66D75B9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0B2081D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644447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2FC20B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3EFB98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0CD4F1E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2B0DF86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858CC5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06B144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622D27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345B62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2A65097D">
            <w:pPr>
              <w:widowControl/>
              <w:spacing w:line="240" w:lineRule="auto"/>
              <w:jc w:val="right"/>
              <w:rPr>
                <w:rFonts w:ascii="宋体" w:hAnsi="宋体" w:eastAsia="宋体" w:cs="宋体"/>
                <w:kern w:val="0"/>
                <w:sz w:val="18"/>
                <w:szCs w:val="18"/>
              </w:rPr>
            </w:pPr>
          </w:p>
        </w:tc>
      </w:tr>
      <w:tr w14:paraId="33CDBE0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E25E42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3D6759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B6021D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75CB8F8B">
            <w:pPr>
              <w:widowControl/>
              <w:spacing w:line="240" w:lineRule="auto"/>
              <w:jc w:val="right"/>
              <w:rPr>
                <w:rFonts w:ascii="宋体" w:hAnsi="宋体" w:eastAsia="宋体" w:cs="宋体"/>
                <w:kern w:val="0"/>
                <w:sz w:val="18"/>
                <w:szCs w:val="18"/>
              </w:rPr>
            </w:pPr>
          </w:p>
        </w:tc>
      </w:tr>
      <w:tr w14:paraId="6D26676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6D2980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B974B4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33D502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00DE802A">
            <w:pPr>
              <w:widowControl/>
              <w:spacing w:line="240" w:lineRule="auto"/>
              <w:jc w:val="right"/>
              <w:rPr>
                <w:rFonts w:ascii="宋体" w:hAnsi="宋体" w:eastAsia="宋体" w:cs="宋体"/>
                <w:kern w:val="0"/>
                <w:sz w:val="18"/>
                <w:szCs w:val="18"/>
              </w:rPr>
            </w:pPr>
          </w:p>
        </w:tc>
      </w:tr>
      <w:tr w14:paraId="0E940A9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BB53B3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00CCF9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2A6038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5AC76F9D">
            <w:pPr>
              <w:widowControl/>
              <w:spacing w:line="240" w:lineRule="auto"/>
              <w:jc w:val="right"/>
              <w:rPr>
                <w:rFonts w:ascii="宋体" w:hAnsi="宋体" w:eastAsia="宋体" w:cs="宋体"/>
                <w:kern w:val="0"/>
                <w:sz w:val="18"/>
                <w:szCs w:val="18"/>
              </w:rPr>
            </w:pPr>
          </w:p>
        </w:tc>
      </w:tr>
      <w:tr w14:paraId="1FD74DC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E44FD6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B0A2B5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BC0CC9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2096F854">
            <w:pPr>
              <w:widowControl/>
              <w:spacing w:line="240" w:lineRule="auto"/>
              <w:jc w:val="right"/>
              <w:rPr>
                <w:rFonts w:ascii="宋体" w:hAnsi="宋体" w:eastAsia="宋体" w:cs="宋体"/>
                <w:kern w:val="0"/>
                <w:sz w:val="18"/>
                <w:szCs w:val="18"/>
              </w:rPr>
            </w:pPr>
          </w:p>
        </w:tc>
      </w:tr>
      <w:tr w14:paraId="4BF9489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483CD4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CF8CC7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642538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275984E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385.03</w:t>
            </w:r>
          </w:p>
        </w:tc>
      </w:tr>
      <w:tr w14:paraId="33A6554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E1F61C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CF9FF3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03D628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6FC809BF">
            <w:pPr>
              <w:widowControl/>
              <w:spacing w:line="240" w:lineRule="auto"/>
              <w:jc w:val="right"/>
              <w:rPr>
                <w:rFonts w:ascii="宋体" w:hAnsi="宋体" w:eastAsia="宋体" w:cs="宋体"/>
                <w:kern w:val="0"/>
                <w:sz w:val="18"/>
                <w:szCs w:val="18"/>
              </w:rPr>
            </w:pPr>
          </w:p>
        </w:tc>
      </w:tr>
      <w:tr w14:paraId="6220425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0C35CF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8E373F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8FA70C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7D05C508">
            <w:pPr>
              <w:widowControl/>
              <w:spacing w:line="240" w:lineRule="auto"/>
              <w:jc w:val="right"/>
              <w:rPr>
                <w:rFonts w:ascii="宋体" w:hAnsi="宋体" w:eastAsia="宋体" w:cs="宋体"/>
                <w:kern w:val="0"/>
                <w:sz w:val="18"/>
                <w:szCs w:val="18"/>
              </w:rPr>
            </w:pPr>
          </w:p>
        </w:tc>
      </w:tr>
      <w:tr w14:paraId="7BCF008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383D3E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3643F0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C7DD5C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622B8877">
            <w:pPr>
              <w:widowControl/>
              <w:spacing w:line="240" w:lineRule="auto"/>
              <w:jc w:val="right"/>
              <w:rPr>
                <w:rFonts w:ascii="宋体" w:hAnsi="宋体" w:eastAsia="宋体" w:cs="宋体"/>
                <w:kern w:val="0"/>
                <w:sz w:val="18"/>
                <w:szCs w:val="18"/>
              </w:rPr>
            </w:pPr>
          </w:p>
        </w:tc>
      </w:tr>
      <w:tr w14:paraId="3899CAA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17F24B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AEAFEA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C42A9A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5ECD115A">
            <w:pPr>
              <w:widowControl/>
              <w:spacing w:line="240" w:lineRule="auto"/>
              <w:jc w:val="right"/>
              <w:rPr>
                <w:rFonts w:ascii="宋体" w:hAnsi="宋体" w:eastAsia="宋体" w:cs="宋体"/>
                <w:kern w:val="0"/>
                <w:sz w:val="18"/>
                <w:szCs w:val="18"/>
              </w:rPr>
            </w:pPr>
          </w:p>
        </w:tc>
      </w:tr>
      <w:tr w14:paraId="231E698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3AE5F0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C9F129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599DBA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306B1FDB">
            <w:pPr>
              <w:widowControl/>
              <w:spacing w:line="240" w:lineRule="auto"/>
              <w:jc w:val="right"/>
              <w:rPr>
                <w:rFonts w:ascii="宋体" w:hAnsi="宋体" w:eastAsia="宋体" w:cs="宋体"/>
                <w:kern w:val="0"/>
                <w:sz w:val="18"/>
                <w:szCs w:val="18"/>
              </w:rPr>
            </w:pPr>
          </w:p>
        </w:tc>
      </w:tr>
      <w:tr w14:paraId="1323343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AC9A27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E2A4AC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7C84BC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0DC71872">
            <w:pPr>
              <w:widowControl/>
              <w:spacing w:line="240" w:lineRule="auto"/>
              <w:jc w:val="right"/>
              <w:rPr>
                <w:rFonts w:ascii="宋体" w:hAnsi="宋体" w:eastAsia="宋体" w:cs="宋体"/>
                <w:kern w:val="0"/>
                <w:sz w:val="18"/>
                <w:szCs w:val="18"/>
              </w:rPr>
            </w:pPr>
          </w:p>
        </w:tc>
      </w:tr>
      <w:tr w14:paraId="0DDA6C1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388CCC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F48CEE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675197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23DC884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39.15</w:t>
            </w:r>
          </w:p>
        </w:tc>
      </w:tr>
      <w:tr w14:paraId="7060F2D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D14155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A92E94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FCDF8F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3558B018">
            <w:pPr>
              <w:widowControl/>
              <w:spacing w:line="240" w:lineRule="auto"/>
              <w:jc w:val="right"/>
              <w:rPr>
                <w:rFonts w:ascii="宋体" w:hAnsi="宋体" w:eastAsia="宋体" w:cs="宋体"/>
                <w:kern w:val="0"/>
                <w:sz w:val="18"/>
                <w:szCs w:val="18"/>
              </w:rPr>
            </w:pPr>
          </w:p>
        </w:tc>
      </w:tr>
      <w:tr w14:paraId="2B64585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477EB2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58F559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DE5FF1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503DD292">
            <w:pPr>
              <w:widowControl/>
              <w:spacing w:line="240" w:lineRule="auto"/>
              <w:jc w:val="right"/>
              <w:rPr>
                <w:rFonts w:ascii="宋体" w:hAnsi="宋体" w:eastAsia="宋体" w:cs="宋体"/>
                <w:kern w:val="0"/>
                <w:sz w:val="18"/>
                <w:szCs w:val="18"/>
              </w:rPr>
            </w:pPr>
          </w:p>
        </w:tc>
      </w:tr>
      <w:tr w14:paraId="56F569C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D33936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D60DDB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64C3EF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0AE86F91">
            <w:pPr>
              <w:widowControl/>
              <w:spacing w:line="240" w:lineRule="auto"/>
              <w:jc w:val="right"/>
              <w:rPr>
                <w:rFonts w:ascii="宋体" w:hAnsi="宋体" w:eastAsia="宋体" w:cs="宋体"/>
                <w:kern w:val="0"/>
                <w:sz w:val="18"/>
                <w:szCs w:val="18"/>
              </w:rPr>
            </w:pPr>
          </w:p>
        </w:tc>
      </w:tr>
      <w:tr w14:paraId="22838D01">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AD85FC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42239E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BB72DD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2BF17125">
            <w:pPr>
              <w:widowControl/>
              <w:spacing w:line="240" w:lineRule="auto"/>
              <w:jc w:val="right"/>
              <w:rPr>
                <w:rFonts w:hint="default" w:ascii="宋体" w:hAnsi="宋体" w:eastAsia="宋体" w:cs="宋体"/>
                <w:kern w:val="0"/>
                <w:sz w:val="18"/>
                <w:szCs w:val="18"/>
                <w:lang w:val="en-US" w:eastAsia="zh-CN"/>
              </w:rPr>
            </w:pPr>
          </w:p>
        </w:tc>
      </w:tr>
      <w:tr w14:paraId="62A6A5B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0D828F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67780E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734A40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3573C10A">
            <w:pPr>
              <w:widowControl/>
              <w:spacing w:line="240" w:lineRule="auto"/>
              <w:jc w:val="right"/>
              <w:rPr>
                <w:rFonts w:ascii="宋体" w:hAnsi="宋体" w:eastAsia="宋体" w:cs="宋体"/>
                <w:kern w:val="0"/>
                <w:sz w:val="18"/>
                <w:szCs w:val="18"/>
              </w:rPr>
            </w:pPr>
          </w:p>
        </w:tc>
      </w:tr>
      <w:tr w14:paraId="09EC9A6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B34076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D503B6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8620B8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4789D934">
            <w:pPr>
              <w:widowControl/>
              <w:spacing w:line="240" w:lineRule="auto"/>
              <w:jc w:val="right"/>
              <w:rPr>
                <w:rFonts w:ascii="宋体" w:hAnsi="宋体" w:eastAsia="宋体" w:cs="宋体"/>
                <w:kern w:val="0"/>
                <w:sz w:val="18"/>
                <w:szCs w:val="18"/>
              </w:rPr>
            </w:pPr>
          </w:p>
        </w:tc>
      </w:tr>
      <w:tr w14:paraId="11B3B37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6D04CF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0FCDB1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B31E3F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2056A7BD">
            <w:pPr>
              <w:widowControl/>
              <w:spacing w:line="240" w:lineRule="auto"/>
              <w:jc w:val="right"/>
              <w:rPr>
                <w:rFonts w:ascii="宋体" w:hAnsi="宋体" w:eastAsia="宋体" w:cs="宋体"/>
                <w:kern w:val="0"/>
                <w:sz w:val="18"/>
                <w:szCs w:val="18"/>
              </w:rPr>
            </w:pPr>
          </w:p>
        </w:tc>
      </w:tr>
      <w:tr w14:paraId="5358F0D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2FDDDEB">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6C0BB17F">
            <w:pPr>
              <w:widowControl/>
              <w:spacing w:line="240" w:lineRule="auto"/>
              <w:jc w:val="right"/>
              <w:rPr>
                <w:rFonts w:ascii="宋体" w:hAnsi="宋体" w:eastAsia="宋体" w:cs="宋体"/>
                <w:b/>
                <w:kern w:val="0"/>
                <w:sz w:val="22"/>
              </w:rPr>
            </w:pPr>
            <w:r>
              <w:rPr>
                <w:rFonts w:hint="eastAsia" w:ascii="宋体" w:hAnsi="宋体" w:eastAsia="宋体" w:cs="宋体"/>
                <w:kern w:val="0"/>
                <w:sz w:val="18"/>
                <w:szCs w:val="18"/>
              </w:rPr>
              <w:t>712.55</w:t>
            </w:r>
            <w:r>
              <w:rPr>
                <w:rFonts w:hint="eastAsia" w:ascii="宋体" w:hAnsi="宋体" w:eastAsia="宋体" w:cs="宋体"/>
                <w:b/>
                <w:kern w:val="0"/>
                <w:sz w:val="22"/>
              </w:rPr>
              <w:t>　</w:t>
            </w:r>
          </w:p>
        </w:tc>
        <w:tc>
          <w:tcPr>
            <w:tcW w:w="3119" w:type="dxa"/>
            <w:tcBorders>
              <w:top w:val="nil"/>
              <w:left w:val="nil"/>
              <w:bottom w:val="single" w:color="auto" w:sz="4" w:space="0"/>
              <w:right w:val="single" w:color="auto" w:sz="4" w:space="0"/>
            </w:tcBorders>
            <w:shd w:val="clear" w:color="auto" w:fill="auto"/>
            <w:noWrap/>
            <w:vAlign w:val="center"/>
          </w:tcPr>
          <w:p w14:paraId="00FDE598">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410E6F15">
            <w:pPr>
              <w:widowControl/>
              <w:spacing w:line="240" w:lineRule="auto"/>
              <w:jc w:val="right"/>
              <w:rPr>
                <w:rFonts w:ascii="宋体" w:hAnsi="宋体" w:eastAsia="宋体" w:cs="宋体"/>
                <w:b/>
                <w:kern w:val="0"/>
                <w:sz w:val="22"/>
              </w:rPr>
            </w:pPr>
            <w:r>
              <w:rPr>
                <w:rFonts w:hint="eastAsia" w:ascii="宋体" w:hAnsi="宋体" w:eastAsia="宋体" w:cs="宋体"/>
                <w:kern w:val="0"/>
                <w:sz w:val="18"/>
                <w:szCs w:val="18"/>
              </w:rPr>
              <w:t>712.55</w:t>
            </w:r>
            <w:r>
              <w:rPr>
                <w:rFonts w:hint="eastAsia" w:ascii="宋体" w:hAnsi="宋体" w:eastAsia="宋体" w:cs="宋体"/>
                <w:b/>
                <w:kern w:val="0"/>
                <w:sz w:val="22"/>
              </w:rPr>
              <w:t>　</w:t>
            </w:r>
          </w:p>
        </w:tc>
      </w:tr>
    </w:tbl>
    <w:p w14:paraId="23772EAE">
      <w:pPr>
        <w:widowControl/>
        <w:spacing w:line="300" w:lineRule="auto"/>
        <w:jc w:val="left"/>
        <w:rPr>
          <w:rFonts w:ascii="楷体" w:hAnsi="楷体" w:eastAsia="楷体" w:cs="Times New Roman"/>
          <w:kern w:val="0"/>
          <w:szCs w:val="21"/>
        </w:rPr>
      </w:pPr>
    </w:p>
    <w:p w14:paraId="0E475452">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五、一般公共预算拨款支出预算表</w:t>
      </w:r>
    </w:p>
    <w:tbl>
      <w:tblPr>
        <w:tblStyle w:val="11"/>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6CB2AB49">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7003CF50">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年度一般公共预算拨款支出预算表</w:t>
            </w:r>
          </w:p>
        </w:tc>
      </w:tr>
      <w:tr w14:paraId="75A83EAD">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59014183">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1F0CD065">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01C4AB3F">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1CA9A2A6">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719976DC">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310A9E3D">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A5ECB81">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1AA0734">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659D7C2">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61F42965">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其中：</w:t>
            </w:r>
          </w:p>
        </w:tc>
      </w:tr>
      <w:tr w14:paraId="34174532">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736CFC22">
            <w:pPr>
              <w:widowControl/>
              <w:spacing w:line="240" w:lineRule="auto"/>
              <w:jc w:val="left"/>
              <w:rPr>
                <w:rFonts w:ascii="宋体" w:hAnsi="宋体" w:eastAsia="宋体" w:cs="宋体"/>
                <w:b/>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21BD4E13">
            <w:pPr>
              <w:widowControl/>
              <w:spacing w:line="240" w:lineRule="auto"/>
              <w:jc w:val="left"/>
              <w:rPr>
                <w:rFonts w:ascii="宋体" w:hAnsi="宋体" w:eastAsia="宋体" w:cs="宋体"/>
                <w:b/>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7C7D94B2">
            <w:pPr>
              <w:widowControl/>
              <w:spacing w:line="240" w:lineRule="auto"/>
              <w:jc w:val="left"/>
              <w:rPr>
                <w:rFonts w:ascii="宋体" w:hAnsi="宋体" w:eastAsia="宋体" w:cs="宋体"/>
                <w:b/>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36BE312F">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15D3FA4C">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项目支出</w:t>
            </w:r>
          </w:p>
        </w:tc>
      </w:tr>
      <w:tr w14:paraId="60D62144">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2E3FD602">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282BB0FA">
            <w:pPr>
              <w:widowControl/>
              <w:spacing w:line="240" w:lineRule="auto"/>
              <w:jc w:val="right"/>
              <w:rPr>
                <w:rFonts w:hint="eastAsia" w:ascii="宋体" w:hAnsi="宋体" w:eastAsia="宋体" w:cs="宋体"/>
                <w:kern w:val="0"/>
                <w:sz w:val="18"/>
                <w:szCs w:val="18"/>
              </w:rPr>
            </w:pPr>
            <w:r>
              <w:rPr>
                <w:rFonts w:hint="eastAsia" w:ascii="宋体" w:hAnsi="宋体" w:eastAsia="宋体" w:cs="宋体"/>
                <w:kern w:val="0"/>
                <w:sz w:val="18"/>
                <w:szCs w:val="18"/>
              </w:rPr>
              <w:t>712.55</w:t>
            </w:r>
          </w:p>
        </w:tc>
        <w:tc>
          <w:tcPr>
            <w:tcW w:w="1559" w:type="dxa"/>
            <w:tcBorders>
              <w:top w:val="nil"/>
              <w:left w:val="nil"/>
              <w:bottom w:val="single" w:color="auto" w:sz="4" w:space="0"/>
              <w:right w:val="single" w:color="auto" w:sz="4" w:space="0"/>
            </w:tcBorders>
            <w:shd w:val="clear" w:color="auto" w:fill="auto"/>
            <w:noWrap/>
            <w:vAlign w:val="bottom"/>
          </w:tcPr>
          <w:p w14:paraId="7917F3B6">
            <w:pPr>
              <w:widowControl/>
              <w:spacing w:line="240" w:lineRule="auto"/>
              <w:jc w:val="right"/>
              <w:rPr>
                <w:rFonts w:hint="eastAsia" w:ascii="宋体" w:hAnsi="宋体" w:eastAsia="宋体" w:cs="宋体"/>
                <w:kern w:val="0"/>
                <w:sz w:val="18"/>
                <w:szCs w:val="18"/>
              </w:rPr>
            </w:pPr>
            <w:r>
              <w:rPr>
                <w:rFonts w:hint="eastAsia" w:ascii="宋体" w:hAnsi="宋体" w:eastAsia="宋体" w:cs="宋体"/>
                <w:kern w:val="0"/>
                <w:sz w:val="18"/>
                <w:szCs w:val="18"/>
              </w:rPr>
              <w:t>712.55</w:t>
            </w:r>
          </w:p>
        </w:tc>
        <w:tc>
          <w:tcPr>
            <w:tcW w:w="1418" w:type="dxa"/>
            <w:tcBorders>
              <w:top w:val="nil"/>
              <w:left w:val="nil"/>
              <w:bottom w:val="single" w:color="auto" w:sz="4" w:space="0"/>
              <w:right w:val="single" w:color="auto" w:sz="4" w:space="0"/>
            </w:tcBorders>
            <w:shd w:val="clear" w:color="auto" w:fill="auto"/>
            <w:noWrap/>
            <w:vAlign w:val="bottom"/>
          </w:tcPr>
          <w:p w14:paraId="1D7B4A96">
            <w:pPr>
              <w:widowControl/>
              <w:spacing w:line="240" w:lineRule="auto"/>
              <w:jc w:val="right"/>
              <w:rPr>
                <w:rFonts w:hint="default" w:ascii="宋体" w:hAnsi="宋体" w:eastAsia="宋体" w:cs="宋体"/>
                <w:kern w:val="0"/>
                <w:sz w:val="18"/>
                <w:szCs w:val="18"/>
                <w:lang w:val="en-US" w:eastAsia="zh-CN"/>
              </w:rPr>
            </w:pPr>
          </w:p>
        </w:tc>
      </w:tr>
      <w:tr w14:paraId="134ECA8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E1A7336">
            <w:pPr>
              <w:keepNext w:val="0"/>
              <w:keepLines w:val="0"/>
              <w:widowControl/>
              <w:suppressLineNumbers w:val="0"/>
              <w:jc w:val="center"/>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201</w:t>
            </w:r>
          </w:p>
        </w:tc>
        <w:tc>
          <w:tcPr>
            <w:tcW w:w="2552" w:type="dxa"/>
            <w:tcBorders>
              <w:top w:val="nil"/>
              <w:left w:val="nil"/>
              <w:bottom w:val="single" w:color="auto" w:sz="4" w:space="0"/>
              <w:right w:val="single" w:color="auto" w:sz="4" w:space="0"/>
            </w:tcBorders>
            <w:shd w:val="clear" w:color="auto" w:fill="auto"/>
            <w:noWrap/>
            <w:vAlign w:val="center"/>
          </w:tcPr>
          <w:p w14:paraId="51059873">
            <w:pPr>
              <w:keepNext w:val="0"/>
              <w:keepLines w:val="0"/>
              <w:widowControl/>
              <w:suppressLineNumbers w:val="0"/>
              <w:jc w:val="center"/>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一般公共服务支出</w:t>
            </w:r>
          </w:p>
        </w:tc>
        <w:tc>
          <w:tcPr>
            <w:tcW w:w="1559" w:type="dxa"/>
            <w:tcBorders>
              <w:top w:val="nil"/>
              <w:left w:val="nil"/>
              <w:bottom w:val="single" w:color="auto" w:sz="4" w:space="0"/>
              <w:right w:val="single" w:color="auto" w:sz="4" w:space="0"/>
            </w:tcBorders>
            <w:shd w:val="clear" w:color="auto" w:fill="auto"/>
            <w:noWrap/>
            <w:vAlign w:val="center"/>
          </w:tcPr>
          <w:p w14:paraId="19D01259">
            <w:pPr>
              <w:widowControl/>
              <w:spacing w:line="240" w:lineRule="auto"/>
              <w:jc w:val="right"/>
              <w:rPr>
                <w:rFonts w:hint="eastAsia" w:ascii="宋体" w:hAnsi="宋体" w:eastAsia="宋体" w:cs="宋体"/>
                <w:kern w:val="0"/>
                <w:sz w:val="18"/>
                <w:szCs w:val="18"/>
              </w:rPr>
            </w:pPr>
            <w:r>
              <w:rPr>
                <w:rFonts w:hint="eastAsia" w:ascii="宋体" w:hAnsi="宋体" w:eastAsia="宋体" w:cs="宋体"/>
                <w:kern w:val="0"/>
                <w:sz w:val="18"/>
                <w:szCs w:val="18"/>
              </w:rPr>
              <w:t>288.37</w:t>
            </w:r>
          </w:p>
        </w:tc>
        <w:tc>
          <w:tcPr>
            <w:tcW w:w="1559" w:type="dxa"/>
            <w:tcBorders>
              <w:top w:val="nil"/>
              <w:left w:val="nil"/>
              <w:bottom w:val="single" w:color="auto" w:sz="4" w:space="0"/>
              <w:right w:val="single" w:color="auto" w:sz="4" w:space="0"/>
            </w:tcBorders>
            <w:shd w:val="clear" w:color="auto" w:fill="auto"/>
            <w:noWrap/>
            <w:vAlign w:val="center"/>
          </w:tcPr>
          <w:p w14:paraId="2440CFDF">
            <w:pPr>
              <w:widowControl/>
              <w:spacing w:line="240" w:lineRule="auto"/>
              <w:jc w:val="right"/>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288.37</w:t>
            </w:r>
          </w:p>
        </w:tc>
        <w:tc>
          <w:tcPr>
            <w:tcW w:w="1418" w:type="dxa"/>
            <w:tcBorders>
              <w:top w:val="nil"/>
              <w:left w:val="nil"/>
              <w:bottom w:val="single" w:color="auto" w:sz="4" w:space="0"/>
              <w:right w:val="single" w:color="auto" w:sz="4" w:space="0"/>
            </w:tcBorders>
            <w:shd w:val="clear" w:color="auto" w:fill="auto"/>
            <w:noWrap/>
            <w:vAlign w:val="bottom"/>
          </w:tcPr>
          <w:p w14:paraId="2AC62BD4">
            <w:pPr>
              <w:widowControl/>
              <w:spacing w:line="240" w:lineRule="auto"/>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r>
      <w:tr w14:paraId="5FBC6757">
        <w:tblPrEx>
          <w:tblCellMar>
            <w:top w:w="0" w:type="dxa"/>
            <w:left w:w="108" w:type="dxa"/>
            <w:bottom w:w="0" w:type="dxa"/>
            <w:right w:w="108" w:type="dxa"/>
          </w:tblCellMar>
        </w:tblPrEx>
        <w:trPr>
          <w:trHeight w:val="627"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F84C30E">
            <w:pPr>
              <w:keepNext w:val="0"/>
              <w:keepLines w:val="0"/>
              <w:widowControl/>
              <w:suppressLineNumbers w:val="0"/>
              <w:jc w:val="center"/>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20103</w:t>
            </w:r>
          </w:p>
        </w:tc>
        <w:tc>
          <w:tcPr>
            <w:tcW w:w="2552" w:type="dxa"/>
            <w:tcBorders>
              <w:top w:val="nil"/>
              <w:left w:val="nil"/>
              <w:bottom w:val="single" w:color="auto" w:sz="4" w:space="0"/>
              <w:right w:val="single" w:color="auto" w:sz="4" w:space="0"/>
            </w:tcBorders>
            <w:shd w:val="clear" w:color="auto" w:fill="auto"/>
            <w:noWrap/>
            <w:vAlign w:val="center"/>
          </w:tcPr>
          <w:p w14:paraId="6207D08B">
            <w:pPr>
              <w:keepNext w:val="0"/>
              <w:keepLines w:val="0"/>
              <w:widowControl/>
              <w:suppressLineNumbers w:val="0"/>
              <w:jc w:val="center"/>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政府办公厅(室)及相关机构事务</w:t>
            </w:r>
          </w:p>
        </w:tc>
        <w:tc>
          <w:tcPr>
            <w:tcW w:w="1559" w:type="dxa"/>
            <w:tcBorders>
              <w:top w:val="nil"/>
              <w:left w:val="nil"/>
              <w:bottom w:val="single" w:color="auto" w:sz="4" w:space="0"/>
              <w:right w:val="single" w:color="auto" w:sz="4" w:space="0"/>
            </w:tcBorders>
            <w:shd w:val="clear" w:color="auto" w:fill="auto"/>
            <w:noWrap/>
            <w:vAlign w:val="center"/>
          </w:tcPr>
          <w:p w14:paraId="11A9A16B">
            <w:pPr>
              <w:widowControl/>
              <w:spacing w:line="240" w:lineRule="auto"/>
              <w:jc w:val="right"/>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288.37</w:t>
            </w:r>
          </w:p>
        </w:tc>
        <w:tc>
          <w:tcPr>
            <w:tcW w:w="1559" w:type="dxa"/>
            <w:tcBorders>
              <w:top w:val="nil"/>
              <w:left w:val="nil"/>
              <w:bottom w:val="single" w:color="auto" w:sz="4" w:space="0"/>
              <w:right w:val="single" w:color="auto" w:sz="4" w:space="0"/>
            </w:tcBorders>
            <w:shd w:val="clear" w:color="auto" w:fill="auto"/>
            <w:noWrap/>
            <w:vAlign w:val="center"/>
          </w:tcPr>
          <w:p w14:paraId="15DA58A5">
            <w:pPr>
              <w:widowControl/>
              <w:spacing w:line="240" w:lineRule="auto"/>
              <w:jc w:val="right"/>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288.37</w:t>
            </w:r>
          </w:p>
        </w:tc>
        <w:tc>
          <w:tcPr>
            <w:tcW w:w="1418" w:type="dxa"/>
            <w:tcBorders>
              <w:top w:val="nil"/>
              <w:left w:val="nil"/>
              <w:bottom w:val="single" w:color="auto" w:sz="4" w:space="0"/>
              <w:right w:val="single" w:color="auto" w:sz="4" w:space="0"/>
            </w:tcBorders>
            <w:shd w:val="clear" w:color="auto" w:fill="auto"/>
            <w:noWrap/>
            <w:vAlign w:val="bottom"/>
          </w:tcPr>
          <w:p w14:paraId="29BCEEAE">
            <w:pPr>
              <w:widowControl/>
              <w:spacing w:line="240" w:lineRule="auto"/>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r>
      <w:tr w14:paraId="5C4E414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A8FC7A0">
            <w:pPr>
              <w:keepNext w:val="0"/>
              <w:keepLines w:val="0"/>
              <w:widowControl/>
              <w:suppressLineNumbers w:val="0"/>
              <w:jc w:val="center"/>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2010301</w:t>
            </w:r>
          </w:p>
        </w:tc>
        <w:tc>
          <w:tcPr>
            <w:tcW w:w="2552" w:type="dxa"/>
            <w:tcBorders>
              <w:top w:val="nil"/>
              <w:left w:val="nil"/>
              <w:bottom w:val="single" w:color="auto" w:sz="4" w:space="0"/>
              <w:right w:val="single" w:color="auto" w:sz="4" w:space="0"/>
            </w:tcBorders>
            <w:shd w:val="clear" w:color="auto" w:fill="auto"/>
            <w:noWrap/>
            <w:vAlign w:val="center"/>
          </w:tcPr>
          <w:p w14:paraId="68F68725">
            <w:pPr>
              <w:keepNext w:val="0"/>
              <w:keepLines w:val="0"/>
              <w:widowControl/>
              <w:suppressLineNumbers w:val="0"/>
              <w:jc w:val="center"/>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行政运行</w:t>
            </w:r>
          </w:p>
        </w:tc>
        <w:tc>
          <w:tcPr>
            <w:tcW w:w="1559" w:type="dxa"/>
            <w:tcBorders>
              <w:top w:val="nil"/>
              <w:left w:val="nil"/>
              <w:bottom w:val="single" w:color="auto" w:sz="4" w:space="0"/>
              <w:right w:val="single" w:color="auto" w:sz="4" w:space="0"/>
            </w:tcBorders>
            <w:shd w:val="clear" w:color="auto" w:fill="auto"/>
            <w:noWrap/>
            <w:vAlign w:val="bottom"/>
          </w:tcPr>
          <w:p w14:paraId="75C0906C">
            <w:pPr>
              <w:widowControl/>
              <w:spacing w:line="240" w:lineRule="auto"/>
              <w:jc w:val="right"/>
              <w:rPr>
                <w:rFonts w:hint="eastAsia" w:ascii="宋体" w:hAnsi="宋体" w:eastAsia="宋体" w:cs="宋体"/>
                <w:kern w:val="0"/>
                <w:sz w:val="18"/>
                <w:szCs w:val="18"/>
              </w:rPr>
            </w:pPr>
            <w:r>
              <w:rPr>
                <w:rFonts w:hint="eastAsia" w:ascii="宋体" w:hAnsi="宋体" w:eastAsia="宋体" w:cs="宋体"/>
                <w:kern w:val="0"/>
                <w:sz w:val="18"/>
                <w:szCs w:val="18"/>
              </w:rPr>
              <w:t>288.37</w:t>
            </w:r>
          </w:p>
        </w:tc>
        <w:tc>
          <w:tcPr>
            <w:tcW w:w="1559" w:type="dxa"/>
            <w:tcBorders>
              <w:top w:val="nil"/>
              <w:left w:val="nil"/>
              <w:bottom w:val="single" w:color="auto" w:sz="4" w:space="0"/>
              <w:right w:val="single" w:color="auto" w:sz="4" w:space="0"/>
            </w:tcBorders>
            <w:shd w:val="clear" w:color="auto" w:fill="auto"/>
            <w:noWrap/>
            <w:vAlign w:val="bottom"/>
          </w:tcPr>
          <w:p w14:paraId="7357CB78">
            <w:pPr>
              <w:widowControl/>
              <w:spacing w:line="240" w:lineRule="auto"/>
              <w:jc w:val="right"/>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288.37</w:t>
            </w:r>
          </w:p>
        </w:tc>
        <w:tc>
          <w:tcPr>
            <w:tcW w:w="1418" w:type="dxa"/>
            <w:tcBorders>
              <w:top w:val="nil"/>
              <w:left w:val="nil"/>
              <w:bottom w:val="single" w:color="auto" w:sz="4" w:space="0"/>
              <w:right w:val="single" w:color="auto" w:sz="4" w:space="0"/>
            </w:tcBorders>
            <w:shd w:val="clear" w:color="auto" w:fill="auto"/>
            <w:noWrap/>
            <w:vAlign w:val="bottom"/>
          </w:tcPr>
          <w:p w14:paraId="358F1DA4">
            <w:pPr>
              <w:widowControl/>
              <w:spacing w:line="240" w:lineRule="auto"/>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r>
      <w:tr w14:paraId="7D7EA2E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DB13CE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213</w:t>
            </w:r>
          </w:p>
        </w:tc>
        <w:tc>
          <w:tcPr>
            <w:tcW w:w="2552" w:type="dxa"/>
            <w:tcBorders>
              <w:top w:val="nil"/>
              <w:left w:val="nil"/>
              <w:bottom w:val="single" w:color="auto" w:sz="4" w:space="0"/>
              <w:right w:val="single" w:color="auto" w:sz="4" w:space="0"/>
            </w:tcBorders>
            <w:shd w:val="clear" w:color="auto" w:fill="auto"/>
            <w:noWrap/>
            <w:vAlign w:val="center"/>
          </w:tcPr>
          <w:p w14:paraId="164C7B9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农林水支出</w:t>
            </w:r>
          </w:p>
        </w:tc>
        <w:tc>
          <w:tcPr>
            <w:tcW w:w="1559" w:type="dxa"/>
            <w:tcBorders>
              <w:top w:val="nil"/>
              <w:left w:val="nil"/>
              <w:bottom w:val="single" w:color="auto" w:sz="4" w:space="0"/>
              <w:right w:val="single" w:color="auto" w:sz="4" w:space="0"/>
            </w:tcBorders>
            <w:shd w:val="clear" w:color="auto" w:fill="auto"/>
            <w:noWrap/>
            <w:vAlign w:val="bottom"/>
          </w:tcPr>
          <w:p w14:paraId="22245994">
            <w:pPr>
              <w:widowControl/>
              <w:spacing w:line="240" w:lineRule="auto"/>
              <w:jc w:val="right"/>
              <w:rPr>
                <w:rFonts w:hint="eastAsia" w:ascii="宋体" w:hAnsi="宋体" w:eastAsia="宋体" w:cs="宋体"/>
                <w:kern w:val="0"/>
                <w:sz w:val="18"/>
                <w:szCs w:val="18"/>
              </w:rPr>
            </w:pPr>
            <w:r>
              <w:rPr>
                <w:rFonts w:hint="eastAsia" w:ascii="宋体" w:hAnsi="宋体" w:eastAsia="宋体" w:cs="宋体"/>
                <w:kern w:val="0"/>
                <w:sz w:val="18"/>
                <w:szCs w:val="18"/>
              </w:rPr>
              <w:t>385.03</w:t>
            </w:r>
          </w:p>
        </w:tc>
        <w:tc>
          <w:tcPr>
            <w:tcW w:w="1559" w:type="dxa"/>
            <w:tcBorders>
              <w:top w:val="nil"/>
              <w:left w:val="nil"/>
              <w:bottom w:val="single" w:color="auto" w:sz="4" w:space="0"/>
              <w:right w:val="single" w:color="auto" w:sz="4" w:space="0"/>
            </w:tcBorders>
            <w:shd w:val="clear" w:color="auto" w:fill="auto"/>
            <w:noWrap/>
            <w:vAlign w:val="bottom"/>
          </w:tcPr>
          <w:p w14:paraId="4996AFA5">
            <w:pPr>
              <w:widowControl/>
              <w:spacing w:line="240" w:lineRule="auto"/>
              <w:jc w:val="right"/>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385.03</w:t>
            </w:r>
          </w:p>
        </w:tc>
        <w:tc>
          <w:tcPr>
            <w:tcW w:w="1418" w:type="dxa"/>
            <w:tcBorders>
              <w:top w:val="nil"/>
              <w:left w:val="nil"/>
              <w:bottom w:val="single" w:color="auto" w:sz="4" w:space="0"/>
              <w:right w:val="single" w:color="auto" w:sz="4" w:space="0"/>
            </w:tcBorders>
            <w:shd w:val="clear" w:color="auto" w:fill="auto"/>
            <w:noWrap/>
            <w:vAlign w:val="bottom"/>
          </w:tcPr>
          <w:p w14:paraId="1A9A098B">
            <w:pPr>
              <w:widowControl/>
              <w:spacing w:line="240" w:lineRule="auto"/>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r>
      <w:tr w14:paraId="1CA5321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AA7E711">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21301</w:t>
            </w:r>
          </w:p>
        </w:tc>
        <w:tc>
          <w:tcPr>
            <w:tcW w:w="2552" w:type="dxa"/>
            <w:tcBorders>
              <w:top w:val="nil"/>
              <w:left w:val="nil"/>
              <w:bottom w:val="single" w:color="auto" w:sz="4" w:space="0"/>
              <w:right w:val="single" w:color="auto" w:sz="4" w:space="0"/>
            </w:tcBorders>
            <w:shd w:val="clear" w:color="auto" w:fill="auto"/>
            <w:noWrap/>
            <w:vAlign w:val="center"/>
          </w:tcPr>
          <w:p w14:paraId="7DDC278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农业农村</w:t>
            </w:r>
          </w:p>
        </w:tc>
        <w:tc>
          <w:tcPr>
            <w:tcW w:w="1559" w:type="dxa"/>
            <w:tcBorders>
              <w:top w:val="nil"/>
              <w:left w:val="nil"/>
              <w:bottom w:val="single" w:color="auto" w:sz="4" w:space="0"/>
              <w:right w:val="single" w:color="auto" w:sz="4" w:space="0"/>
            </w:tcBorders>
            <w:shd w:val="clear" w:color="auto" w:fill="auto"/>
            <w:noWrap/>
            <w:vAlign w:val="bottom"/>
          </w:tcPr>
          <w:p w14:paraId="1207EBCA">
            <w:pPr>
              <w:widowControl/>
              <w:spacing w:line="240" w:lineRule="auto"/>
              <w:jc w:val="right"/>
              <w:rPr>
                <w:rFonts w:hint="eastAsia" w:ascii="宋体" w:hAnsi="宋体" w:eastAsia="宋体" w:cs="宋体"/>
                <w:kern w:val="0"/>
                <w:sz w:val="18"/>
                <w:szCs w:val="18"/>
              </w:rPr>
            </w:pPr>
            <w:r>
              <w:rPr>
                <w:rFonts w:hint="eastAsia" w:ascii="宋体" w:hAnsi="宋体" w:eastAsia="宋体" w:cs="宋体"/>
                <w:kern w:val="0"/>
                <w:sz w:val="18"/>
                <w:szCs w:val="18"/>
              </w:rPr>
              <w:t>385.03</w:t>
            </w:r>
          </w:p>
        </w:tc>
        <w:tc>
          <w:tcPr>
            <w:tcW w:w="1559" w:type="dxa"/>
            <w:tcBorders>
              <w:top w:val="nil"/>
              <w:left w:val="nil"/>
              <w:bottom w:val="single" w:color="auto" w:sz="4" w:space="0"/>
              <w:right w:val="single" w:color="auto" w:sz="4" w:space="0"/>
            </w:tcBorders>
            <w:shd w:val="clear" w:color="auto" w:fill="auto"/>
            <w:noWrap/>
            <w:vAlign w:val="bottom"/>
          </w:tcPr>
          <w:p w14:paraId="4DD4BB0F">
            <w:pPr>
              <w:widowControl/>
              <w:spacing w:line="240" w:lineRule="auto"/>
              <w:jc w:val="right"/>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385.03</w:t>
            </w:r>
          </w:p>
        </w:tc>
        <w:tc>
          <w:tcPr>
            <w:tcW w:w="1418" w:type="dxa"/>
            <w:tcBorders>
              <w:top w:val="nil"/>
              <w:left w:val="nil"/>
              <w:bottom w:val="single" w:color="auto" w:sz="4" w:space="0"/>
              <w:right w:val="single" w:color="auto" w:sz="4" w:space="0"/>
            </w:tcBorders>
            <w:shd w:val="clear" w:color="auto" w:fill="auto"/>
            <w:noWrap/>
            <w:vAlign w:val="bottom"/>
          </w:tcPr>
          <w:p w14:paraId="50E485FF">
            <w:pPr>
              <w:widowControl/>
              <w:spacing w:line="240" w:lineRule="auto"/>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r>
      <w:tr w14:paraId="72B6ACD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74793D1">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2130104</w:t>
            </w:r>
          </w:p>
        </w:tc>
        <w:tc>
          <w:tcPr>
            <w:tcW w:w="2552" w:type="dxa"/>
            <w:tcBorders>
              <w:top w:val="nil"/>
              <w:left w:val="nil"/>
              <w:bottom w:val="single" w:color="auto" w:sz="4" w:space="0"/>
              <w:right w:val="single" w:color="auto" w:sz="4" w:space="0"/>
            </w:tcBorders>
            <w:shd w:val="clear" w:color="auto" w:fill="auto"/>
            <w:noWrap/>
            <w:vAlign w:val="center"/>
          </w:tcPr>
          <w:p w14:paraId="5444099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事业运行</w:t>
            </w:r>
          </w:p>
        </w:tc>
        <w:tc>
          <w:tcPr>
            <w:tcW w:w="1559" w:type="dxa"/>
            <w:tcBorders>
              <w:top w:val="nil"/>
              <w:left w:val="nil"/>
              <w:bottom w:val="single" w:color="auto" w:sz="4" w:space="0"/>
              <w:right w:val="single" w:color="auto" w:sz="4" w:space="0"/>
            </w:tcBorders>
            <w:shd w:val="clear" w:color="auto" w:fill="auto"/>
            <w:noWrap/>
            <w:vAlign w:val="bottom"/>
          </w:tcPr>
          <w:p w14:paraId="39B50C5C">
            <w:pPr>
              <w:widowControl/>
              <w:spacing w:line="240" w:lineRule="auto"/>
              <w:jc w:val="right"/>
              <w:rPr>
                <w:rFonts w:hint="eastAsia" w:ascii="宋体" w:hAnsi="宋体" w:eastAsia="宋体" w:cs="宋体"/>
                <w:kern w:val="0"/>
                <w:sz w:val="18"/>
                <w:szCs w:val="18"/>
              </w:rPr>
            </w:pPr>
            <w:r>
              <w:rPr>
                <w:rFonts w:hint="eastAsia" w:ascii="宋体" w:hAnsi="宋体" w:eastAsia="宋体" w:cs="宋体"/>
                <w:kern w:val="0"/>
                <w:sz w:val="18"/>
                <w:szCs w:val="18"/>
              </w:rPr>
              <w:t>385.03</w:t>
            </w:r>
          </w:p>
        </w:tc>
        <w:tc>
          <w:tcPr>
            <w:tcW w:w="1559" w:type="dxa"/>
            <w:tcBorders>
              <w:top w:val="nil"/>
              <w:left w:val="nil"/>
              <w:bottom w:val="single" w:color="auto" w:sz="4" w:space="0"/>
              <w:right w:val="single" w:color="auto" w:sz="4" w:space="0"/>
            </w:tcBorders>
            <w:shd w:val="clear" w:color="auto" w:fill="auto"/>
            <w:noWrap/>
            <w:vAlign w:val="bottom"/>
          </w:tcPr>
          <w:p w14:paraId="5B1FC126">
            <w:pPr>
              <w:widowControl/>
              <w:spacing w:line="240" w:lineRule="auto"/>
              <w:jc w:val="right"/>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385.03</w:t>
            </w:r>
          </w:p>
        </w:tc>
        <w:tc>
          <w:tcPr>
            <w:tcW w:w="1418" w:type="dxa"/>
            <w:tcBorders>
              <w:top w:val="nil"/>
              <w:left w:val="nil"/>
              <w:bottom w:val="single" w:color="auto" w:sz="4" w:space="0"/>
              <w:right w:val="single" w:color="auto" w:sz="4" w:space="0"/>
            </w:tcBorders>
            <w:shd w:val="clear" w:color="auto" w:fill="auto"/>
            <w:noWrap/>
            <w:vAlign w:val="bottom"/>
          </w:tcPr>
          <w:p w14:paraId="6477E08F">
            <w:pPr>
              <w:widowControl/>
              <w:spacing w:line="240" w:lineRule="auto"/>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r>
      <w:tr w14:paraId="07536F8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386A881">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221</w:t>
            </w:r>
          </w:p>
        </w:tc>
        <w:tc>
          <w:tcPr>
            <w:tcW w:w="2552" w:type="dxa"/>
            <w:tcBorders>
              <w:top w:val="nil"/>
              <w:left w:val="nil"/>
              <w:bottom w:val="single" w:color="auto" w:sz="4" w:space="0"/>
              <w:right w:val="single" w:color="auto" w:sz="4" w:space="0"/>
            </w:tcBorders>
            <w:shd w:val="clear" w:color="auto" w:fill="auto"/>
            <w:noWrap/>
            <w:vAlign w:val="center"/>
          </w:tcPr>
          <w:p w14:paraId="2CC292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住房保障支出</w:t>
            </w:r>
          </w:p>
        </w:tc>
        <w:tc>
          <w:tcPr>
            <w:tcW w:w="1559" w:type="dxa"/>
            <w:tcBorders>
              <w:top w:val="nil"/>
              <w:left w:val="nil"/>
              <w:bottom w:val="single" w:color="auto" w:sz="4" w:space="0"/>
              <w:right w:val="single" w:color="auto" w:sz="4" w:space="0"/>
            </w:tcBorders>
            <w:shd w:val="clear" w:color="auto" w:fill="auto"/>
            <w:noWrap/>
            <w:vAlign w:val="bottom"/>
          </w:tcPr>
          <w:p w14:paraId="224BA1CF">
            <w:pPr>
              <w:widowControl/>
              <w:spacing w:line="240" w:lineRule="auto"/>
              <w:jc w:val="right"/>
              <w:rPr>
                <w:rFonts w:hint="eastAsia" w:ascii="宋体" w:hAnsi="宋体" w:eastAsia="宋体" w:cs="宋体"/>
                <w:kern w:val="0"/>
                <w:sz w:val="18"/>
                <w:szCs w:val="18"/>
              </w:rPr>
            </w:pPr>
            <w:r>
              <w:rPr>
                <w:rFonts w:hint="eastAsia" w:ascii="宋体" w:hAnsi="宋体" w:eastAsia="宋体" w:cs="宋体"/>
                <w:kern w:val="0"/>
                <w:sz w:val="18"/>
                <w:szCs w:val="18"/>
              </w:rPr>
              <w:t>39.15</w:t>
            </w:r>
          </w:p>
        </w:tc>
        <w:tc>
          <w:tcPr>
            <w:tcW w:w="1559" w:type="dxa"/>
            <w:tcBorders>
              <w:top w:val="nil"/>
              <w:left w:val="nil"/>
              <w:bottom w:val="single" w:color="auto" w:sz="4" w:space="0"/>
              <w:right w:val="single" w:color="auto" w:sz="4" w:space="0"/>
            </w:tcBorders>
            <w:shd w:val="clear" w:color="auto" w:fill="auto"/>
            <w:noWrap/>
            <w:vAlign w:val="bottom"/>
          </w:tcPr>
          <w:p w14:paraId="6CD72815">
            <w:pPr>
              <w:widowControl/>
              <w:spacing w:line="240" w:lineRule="auto"/>
              <w:jc w:val="right"/>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39.15</w:t>
            </w:r>
          </w:p>
        </w:tc>
        <w:tc>
          <w:tcPr>
            <w:tcW w:w="1418" w:type="dxa"/>
            <w:tcBorders>
              <w:top w:val="nil"/>
              <w:left w:val="nil"/>
              <w:bottom w:val="single" w:color="auto" w:sz="4" w:space="0"/>
              <w:right w:val="single" w:color="auto" w:sz="4" w:space="0"/>
            </w:tcBorders>
            <w:shd w:val="clear" w:color="auto" w:fill="auto"/>
            <w:noWrap/>
            <w:vAlign w:val="bottom"/>
          </w:tcPr>
          <w:p w14:paraId="5E080F42">
            <w:pPr>
              <w:widowControl/>
              <w:spacing w:line="240" w:lineRule="auto"/>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r>
      <w:tr w14:paraId="0A79341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DBE44E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22102</w:t>
            </w:r>
          </w:p>
        </w:tc>
        <w:tc>
          <w:tcPr>
            <w:tcW w:w="2552" w:type="dxa"/>
            <w:tcBorders>
              <w:top w:val="nil"/>
              <w:left w:val="nil"/>
              <w:bottom w:val="single" w:color="auto" w:sz="4" w:space="0"/>
              <w:right w:val="single" w:color="auto" w:sz="4" w:space="0"/>
            </w:tcBorders>
            <w:shd w:val="clear" w:color="auto" w:fill="auto"/>
            <w:noWrap/>
            <w:vAlign w:val="center"/>
          </w:tcPr>
          <w:p w14:paraId="4B1EAD6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住房改革支出</w:t>
            </w:r>
          </w:p>
        </w:tc>
        <w:tc>
          <w:tcPr>
            <w:tcW w:w="1559" w:type="dxa"/>
            <w:tcBorders>
              <w:top w:val="nil"/>
              <w:left w:val="nil"/>
              <w:bottom w:val="single" w:color="auto" w:sz="4" w:space="0"/>
              <w:right w:val="single" w:color="auto" w:sz="4" w:space="0"/>
            </w:tcBorders>
            <w:shd w:val="clear" w:color="auto" w:fill="auto"/>
            <w:noWrap/>
            <w:vAlign w:val="bottom"/>
          </w:tcPr>
          <w:p w14:paraId="5EC214FB">
            <w:pPr>
              <w:widowControl/>
              <w:spacing w:line="240" w:lineRule="auto"/>
              <w:jc w:val="right"/>
              <w:rPr>
                <w:rFonts w:hint="eastAsia" w:ascii="宋体" w:hAnsi="宋体" w:eastAsia="宋体" w:cs="宋体"/>
                <w:kern w:val="0"/>
                <w:sz w:val="18"/>
                <w:szCs w:val="18"/>
              </w:rPr>
            </w:pPr>
            <w:r>
              <w:rPr>
                <w:rFonts w:hint="eastAsia" w:ascii="宋体" w:hAnsi="宋体" w:eastAsia="宋体" w:cs="宋体"/>
                <w:kern w:val="0"/>
                <w:sz w:val="18"/>
                <w:szCs w:val="18"/>
              </w:rPr>
              <w:t>39.15</w:t>
            </w:r>
          </w:p>
        </w:tc>
        <w:tc>
          <w:tcPr>
            <w:tcW w:w="1559" w:type="dxa"/>
            <w:tcBorders>
              <w:top w:val="nil"/>
              <w:left w:val="nil"/>
              <w:bottom w:val="single" w:color="auto" w:sz="4" w:space="0"/>
              <w:right w:val="single" w:color="auto" w:sz="4" w:space="0"/>
            </w:tcBorders>
            <w:shd w:val="clear" w:color="auto" w:fill="auto"/>
            <w:noWrap/>
            <w:vAlign w:val="bottom"/>
          </w:tcPr>
          <w:p w14:paraId="41D46663">
            <w:pPr>
              <w:widowControl/>
              <w:spacing w:line="240" w:lineRule="auto"/>
              <w:jc w:val="right"/>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39.15</w:t>
            </w:r>
          </w:p>
        </w:tc>
        <w:tc>
          <w:tcPr>
            <w:tcW w:w="1418" w:type="dxa"/>
            <w:tcBorders>
              <w:top w:val="nil"/>
              <w:left w:val="nil"/>
              <w:bottom w:val="single" w:color="auto" w:sz="4" w:space="0"/>
              <w:right w:val="single" w:color="auto" w:sz="4" w:space="0"/>
            </w:tcBorders>
            <w:shd w:val="clear" w:color="auto" w:fill="auto"/>
            <w:noWrap/>
            <w:vAlign w:val="bottom"/>
          </w:tcPr>
          <w:p w14:paraId="2992B632">
            <w:pPr>
              <w:widowControl/>
              <w:spacing w:line="240" w:lineRule="auto"/>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r>
      <w:tr w14:paraId="43147395">
        <w:tblPrEx>
          <w:tblCellMar>
            <w:top w:w="0" w:type="dxa"/>
            <w:left w:w="108" w:type="dxa"/>
            <w:bottom w:w="0" w:type="dxa"/>
            <w:right w:w="108" w:type="dxa"/>
          </w:tblCellMar>
        </w:tblPrEx>
        <w:trPr>
          <w:trHeight w:val="402"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546E91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2210201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6F9B15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住房公积金</w:t>
            </w:r>
          </w:p>
        </w:tc>
        <w:tc>
          <w:tcPr>
            <w:tcW w:w="1559" w:type="dxa"/>
            <w:tcBorders>
              <w:top w:val="single" w:color="auto" w:sz="4" w:space="0"/>
              <w:left w:val="single" w:color="auto" w:sz="4" w:space="0"/>
              <w:bottom w:val="single" w:color="auto" w:sz="4" w:space="0"/>
              <w:right w:val="single" w:color="auto" w:sz="4" w:space="0"/>
            </w:tcBorders>
          </w:tcPr>
          <w:p w14:paraId="4801F478">
            <w:pPr>
              <w:widowControl/>
              <w:spacing w:line="240" w:lineRule="auto"/>
              <w:jc w:val="right"/>
              <w:rPr>
                <w:rFonts w:hint="eastAsia" w:ascii="宋体" w:hAnsi="宋体" w:eastAsia="宋体" w:cs="宋体"/>
                <w:kern w:val="0"/>
                <w:sz w:val="18"/>
                <w:szCs w:val="18"/>
              </w:rPr>
            </w:pPr>
            <w:r>
              <w:rPr>
                <w:rFonts w:hint="eastAsia" w:ascii="宋体" w:hAnsi="宋体" w:eastAsia="宋体" w:cs="宋体"/>
                <w:kern w:val="0"/>
                <w:sz w:val="18"/>
                <w:szCs w:val="18"/>
              </w:rPr>
              <w:t>39.15</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top"/>
          </w:tcPr>
          <w:p w14:paraId="4DB30073">
            <w:pPr>
              <w:widowControl/>
              <w:spacing w:line="240" w:lineRule="auto"/>
              <w:jc w:val="right"/>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39.15</w:t>
            </w:r>
          </w:p>
        </w:tc>
        <w:tc>
          <w:tcPr>
            <w:tcW w:w="0" w:type="auto"/>
            <w:tcBorders>
              <w:top w:val="single" w:color="auto" w:sz="4" w:space="0"/>
              <w:left w:val="single" w:color="auto" w:sz="4" w:space="0"/>
              <w:bottom w:val="single" w:color="auto" w:sz="4" w:space="0"/>
              <w:right w:val="single" w:color="auto" w:sz="4" w:space="0"/>
            </w:tcBorders>
          </w:tcPr>
          <w:p w14:paraId="0817FE47">
            <w:pPr>
              <w:widowControl/>
              <w:spacing w:line="240" w:lineRule="auto"/>
              <w:jc w:val="right"/>
              <w:rPr>
                <w:rFonts w:hint="eastAsia" w:ascii="宋体" w:hAnsi="宋体" w:eastAsia="宋体" w:cs="宋体"/>
                <w:kern w:val="0"/>
                <w:sz w:val="18"/>
                <w:szCs w:val="18"/>
              </w:rPr>
            </w:pPr>
          </w:p>
        </w:tc>
      </w:tr>
    </w:tbl>
    <w:p w14:paraId="0B2A09B2">
      <w:pPr>
        <w:widowControl/>
        <w:spacing w:line="300" w:lineRule="auto"/>
        <w:jc w:val="left"/>
        <w:rPr>
          <w:rFonts w:ascii="楷体" w:hAnsi="楷体" w:eastAsia="楷体" w:cs="Times New Roman"/>
          <w:kern w:val="0"/>
          <w:szCs w:val="21"/>
        </w:rPr>
      </w:pPr>
    </w:p>
    <w:p w14:paraId="23D2AA54">
      <w:pPr>
        <w:tabs>
          <w:tab w:val="left" w:pos="7513"/>
        </w:tabs>
        <w:spacing w:line="360" w:lineRule="auto"/>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534A6D41">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六、政府性基金预算拨款支出预算表</w:t>
      </w:r>
    </w:p>
    <w:tbl>
      <w:tblPr>
        <w:tblStyle w:val="11"/>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058D55D3">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4B407AE4">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年度政府性基金预算拨款支出预算表</w:t>
            </w:r>
          </w:p>
        </w:tc>
      </w:tr>
      <w:tr w14:paraId="611B0231">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4A105C7B">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1910AA20">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2B300BC7">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71FB2E53">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29567FA6">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1834E7F0">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3BFD2E8">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2316261">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3FE486B">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68AB6D68">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其中：</w:t>
            </w:r>
          </w:p>
        </w:tc>
      </w:tr>
      <w:tr w14:paraId="568052D5">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7E7B603E">
            <w:pPr>
              <w:widowControl/>
              <w:spacing w:line="240" w:lineRule="auto"/>
              <w:jc w:val="left"/>
              <w:rPr>
                <w:rFonts w:ascii="宋体" w:hAnsi="宋体" w:eastAsia="宋体" w:cs="宋体"/>
                <w:b/>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50C1C31F">
            <w:pPr>
              <w:widowControl/>
              <w:spacing w:line="240" w:lineRule="auto"/>
              <w:jc w:val="left"/>
              <w:rPr>
                <w:rFonts w:ascii="宋体" w:hAnsi="宋体" w:eastAsia="宋体" w:cs="宋体"/>
                <w:b/>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7E29E206">
            <w:pPr>
              <w:widowControl/>
              <w:spacing w:line="240" w:lineRule="auto"/>
              <w:jc w:val="left"/>
              <w:rPr>
                <w:rFonts w:ascii="宋体" w:hAnsi="宋体" w:eastAsia="宋体" w:cs="宋体"/>
                <w:b/>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0F0AC251">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2A49152C">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项目支出</w:t>
            </w:r>
          </w:p>
        </w:tc>
      </w:tr>
      <w:tr w14:paraId="2321BD7B">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0ACC33EB">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242F3B77">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2399147A">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029BC5E9">
            <w:pPr>
              <w:widowControl/>
              <w:spacing w:line="240" w:lineRule="auto"/>
              <w:jc w:val="center"/>
              <w:rPr>
                <w:rFonts w:ascii="宋体" w:hAnsi="宋体" w:eastAsia="宋体" w:cs="宋体"/>
                <w:kern w:val="0"/>
                <w:sz w:val="22"/>
              </w:rPr>
            </w:pPr>
          </w:p>
        </w:tc>
      </w:tr>
      <w:tr w14:paraId="240E373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9CE78B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4999543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1E169E1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46DB52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9BAB12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F74E14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F37E3B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570B986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3CCCECC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4F826E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EBF655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DDB4A2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AD006F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A15215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8F5117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39FE47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C67164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42662A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22EAF2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4A073C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327A46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51836E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09F2F1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1DA395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121262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2EC1B3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50D2A1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5E75D1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BF2429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863139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D6CE89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D8BA41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D3842C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B72699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E23689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06C736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DB50BA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670BA2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7326D8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897A1A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F48A96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CB76BB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CD777A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C6ADC2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C5101E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86BEF7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3CECD8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E54DAE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9D063A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0EB1E7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EB80E0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E00D76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6F9252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B88F98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E247E1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F56465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11E06D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39212C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D80AA4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190973C8">
      <w:pPr>
        <w:widowControl/>
        <w:spacing w:line="300" w:lineRule="auto"/>
        <w:jc w:val="lef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213EF3B2">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七、国有资本经营预算拨款支出预算表</w:t>
      </w:r>
    </w:p>
    <w:tbl>
      <w:tblPr>
        <w:tblStyle w:val="11"/>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40E027DF">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3371F8B1">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年度国有资本经营预算拨款支出预算表</w:t>
            </w:r>
          </w:p>
        </w:tc>
      </w:tr>
      <w:tr w14:paraId="4B7D9330">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6D15D09A">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0A34D2F4">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545E6711">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263006BF">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3759533F">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6E0D392F">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089107F">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688F86F">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B14F6BC">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71BBA61C">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其中：</w:t>
            </w:r>
          </w:p>
        </w:tc>
      </w:tr>
      <w:tr w14:paraId="114E006A">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005F4385">
            <w:pPr>
              <w:widowControl/>
              <w:spacing w:line="240" w:lineRule="auto"/>
              <w:jc w:val="left"/>
              <w:rPr>
                <w:rFonts w:ascii="宋体" w:hAnsi="宋体" w:eastAsia="宋体" w:cs="宋体"/>
                <w:b/>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244E7B11">
            <w:pPr>
              <w:widowControl/>
              <w:spacing w:line="240" w:lineRule="auto"/>
              <w:jc w:val="left"/>
              <w:rPr>
                <w:rFonts w:ascii="宋体" w:hAnsi="宋体" w:eastAsia="宋体" w:cs="宋体"/>
                <w:b/>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6190FEE0">
            <w:pPr>
              <w:widowControl/>
              <w:spacing w:line="240" w:lineRule="auto"/>
              <w:jc w:val="left"/>
              <w:rPr>
                <w:rFonts w:ascii="宋体" w:hAnsi="宋体" w:eastAsia="宋体" w:cs="宋体"/>
                <w:b/>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5D77B97E">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50EC23AA">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项目支出</w:t>
            </w:r>
          </w:p>
        </w:tc>
      </w:tr>
      <w:tr w14:paraId="5E72AE47">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5432A2DD">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33C2DA99">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76FC32FA">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01A9507B">
            <w:pPr>
              <w:widowControl/>
              <w:spacing w:line="240" w:lineRule="auto"/>
              <w:jc w:val="center"/>
              <w:rPr>
                <w:rFonts w:ascii="宋体" w:hAnsi="宋体" w:eastAsia="宋体" w:cs="宋体"/>
                <w:kern w:val="0"/>
                <w:sz w:val="22"/>
              </w:rPr>
            </w:pPr>
          </w:p>
        </w:tc>
      </w:tr>
      <w:tr w14:paraId="3150D64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4367FD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41A9B75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439D93B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6C30F3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64F1B3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72AF80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E63E85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730A964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0C2278D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28F79C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599F36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217E06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4B6DAE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0A3528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CF4070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C8CD85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3908DF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0FD1BD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B0011C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A14E67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6F034D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273534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CA7A03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0BADFF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D31C85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BC4319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87D690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EEF776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D53A6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CB4818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395775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DAE94C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9E4C1F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4605E3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9EFB83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E39CEE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55655B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482C10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211547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203643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8176BF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42DEF0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0ACA65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A068FE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CAAA6B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8F11FD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D1F680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E656CC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60BFD3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A3B0DA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5A0812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427D23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B1AF51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A8B30B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247B6A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06639C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F7941E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4821DC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430E4E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32524304">
      <w:pPr>
        <w:widowControl/>
        <w:spacing w:line="300" w:lineRule="auto"/>
        <w:jc w:val="lef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1B29D990">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八、一般公共预算支出经济分类情况表</w:t>
      </w:r>
    </w:p>
    <w:tbl>
      <w:tblPr>
        <w:tblStyle w:val="11"/>
        <w:tblW w:w="8237" w:type="dxa"/>
        <w:tblInd w:w="93" w:type="dxa"/>
        <w:tblLayout w:type="autofit"/>
        <w:tblCellMar>
          <w:top w:w="0" w:type="dxa"/>
          <w:left w:w="108" w:type="dxa"/>
          <w:bottom w:w="0" w:type="dxa"/>
          <w:right w:w="108" w:type="dxa"/>
        </w:tblCellMar>
      </w:tblPr>
      <w:tblGrid>
        <w:gridCol w:w="1575"/>
        <w:gridCol w:w="3969"/>
        <w:gridCol w:w="2693"/>
      </w:tblGrid>
      <w:tr w14:paraId="617D9EAE">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3A02CCC6">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年度一般公共预算支出经济分类情况表</w:t>
            </w:r>
          </w:p>
        </w:tc>
      </w:tr>
      <w:tr w14:paraId="5CA3B307">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0922729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7ECEB1B7">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0357130C">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550181E8">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01B3F">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4E5A5A1A">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5E121F4E">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预算数</w:t>
            </w:r>
          </w:p>
        </w:tc>
      </w:tr>
      <w:tr w14:paraId="208CA074">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915EE">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3EAEAE1A">
            <w:pPr>
              <w:widowControl/>
              <w:spacing w:line="240" w:lineRule="auto"/>
              <w:jc w:val="right"/>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712.55</w:t>
            </w:r>
            <w:r>
              <w:rPr>
                <w:rFonts w:hint="eastAsia" w:ascii="宋体" w:hAnsi="宋体" w:eastAsia="宋体" w:cs="宋体"/>
                <w:kern w:val="0"/>
                <w:sz w:val="18"/>
                <w:szCs w:val="18"/>
              </w:rPr>
              <w:t>　</w:t>
            </w:r>
          </w:p>
        </w:tc>
      </w:tr>
      <w:tr w14:paraId="1CC50955">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2A7228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703FEB8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22EFBAEB">
            <w:pPr>
              <w:widowControl/>
              <w:spacing w:line="240" w:lineRule="auto"/>
              <w:jc w:val="right"/>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659.38</w:t>
            </w:r>
            <w:r>
              <w:rPr>
                <w:rFonts w:hint="eastAsia" w:ascii="宋体" w:hAnsi="宋体" w:eastAsia="宋体" w:cs="宋体"/>
                <w:kern w:val="0"/>
                <w:sz w:val="18"/>
                <w:szCs w:val="18"/>
              </w:rPr>
              <w:t>　</w:t>
            </w:r>
          </w:p>
        </w:tc>
      </w:tr>
      <w:tr w14:paraId="0915B507">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7B8473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111BFFF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2985B5E6">
            <w:pPr>
              <w:widowControl/>
              <w:spacing w:line="240" w:lineRule="auto"/>
              <w:jc w:val="right"/>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23.79</w:t>
            </w:r>
            <w:r>
              <w:rPr>
                <w:rFonts w:hint="eastAsia" w:ascii="宋体" w:hAnsi="宋体" w:eastAsia="宋体" w:cs="宋体"/>
                <w:kern w:val="0"/>
                <w:sz w:val="18"/>
                <w:szCs w:val="18"/>
              </w:rPr>
              <w:t>　</w:t>
            </w:r>
          </w:p>
        </w:tc>
      </w:tr>
      <w:tr w14:paraId="01A3E3EC">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C8535B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33E3162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06A4BC89">
            <w:pPr>
              <w:widowControl/>
              <w:spacing w:line="240" w:lineRule="auto"/>
              <w:jc w:val="right"/>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25.13</w:t>
            </w:r>
            <w:r>
              <w:rPr>
                <w:rFonts w:hint="eastAsia" w:ascii="宋体" w:hAnsi="宋体" w:eastAsia="宋体" w:cs="宋体"/>
                <w:kern w:val="0"/>
                <w:sz w:val="18"/>
                <w:szCs w:val="18"/>
              </w:rPr>
              <w:t>　</w:t>
            </w:r>
          </w:p>
        </w:tc>
      </w:tr>
      <w:tr w14:paraId="6F75B4E8">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6B8FA3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2C6D71C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1D3345B3">
            <w:pPr>
              <w:widowControl/>
              <w:spacing w:line="240" w:lineRule="auto"/>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r>
      <w:tr w14:paraId="2CC27E85">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78B8F6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209F41D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70D3B2B5">
            <w:pPr>
              <w:widowControl/>
              <w:spacing w:line="240" w:lineRule="auto"/>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r>
      <w:tr w14:paraId="42DB248A">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92AC8B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3BEA7BE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28B67ABB">
            <w:pPr>
              <w:widowControl/>
              <w:spacing w:line="240" w:lineRule="auto"/>
              <w:jc w:val="right"/>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4.25</w:t>
            </w:r>
            <w:r>
              <w:rPr>
                <w:rFonts w:hint="eastAsia" w:ascii="宋体" w:hAnsi="宋体" w:eastAsia="宋体" w:cs="宋体"/>
                <w:kern w:val="0"/>
                <w:sz w:val="18"/>
                <w:szCs w:val="18"/>
              </w:rPr>
              <w:t>　</w:t>
            </w:r>
          </w:p>
        </w:tc>
      </w:tr>
      <w:tr w14:paraId="7A6E55ED">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002D3B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23FA771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59A8A5BC">
            <w:pPr>
              <w:widowControl/>
              <w:spacing w:line="240" w:lineRule="auto"/>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r>
      <w:tr w14:paraId="69D50C4A">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B661CB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0636948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7C1E0382">
            <w:pPr>
              <w:widowControl/>
              <w:spacing w:line="240" w:lineRule="auto"/>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r>
      <w:tr w14:paraId="54910549">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D500C3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5BBCC5F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2AAD6E69">
            <w:pPr>
              <w:widowControl/>
              <w:spacing w:line="240" w:lineRule="auto"/>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r>
      <w:tr w14:paraId="206CCA8B">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620578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2202276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566D597E">
            <w:pPr>
              <w:widowControl/>
              <w:spacing w:line="240" w:lineRule="auto"/>
              <w:jc w:val="right"/>
              <w:rPr>
                <w:rFonts w:hint="default" w:ascii="宋体" w:hAnsi="宋体" w:eastAsia="宋体" w:cs="宋体"/>
                <w:kern w:val="0"/>
                <w:sz w:val="18"/>
                <w:szCs w:val="18"/>
                <w:lang w:val="en-US" w:eastAsia="zh-CN"/>
              </w:rPr>
            </w:pPr>
          </w:p>
        </w:tc>
      </w:tr>
    </w:tbl>
    <w:p w14:paraId="2BC6510B">
      <w:pPr>
        <w:widowControl/>
        <w:spacing w:line="300" w:lineRule="auto"/>
        <w:jc w:val="lef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5A24A46A">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九、一般公共预算基本支出经济分类情况表</w:t>
      </w:r>
    </w:p>
    <w:p w14:paraId="690A29F5">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年度一般公共预算基本支出经济分类情况表</w:t>
      </w:r>
    </w:p>
    <w:tbl>
      <w:tblPr>
        <w:tblStyle w:val="11"/>
        <w:tblW w:w="8237" w:type="dxa"/>
        <w:tblInd w:w="93" w:type="dxa"/>
        <w:tblLayout w:type="autofit"/>
        <w:tblCellMar>
          <w:top w:w="0" w:type="dxa"/>
          <w:left w:w="108" w:type="dxa"/>
          <w:bottom w:w="0" w:type="dxa"/>
          <w:right w:w="108" w:type="dxa"/>
        </w:tblCellMar>
      </w:tblPr>
      <w:tblGrid>
        <w:gridCol w:w="1575"/>
        <w:gridCol w:w="4252"/>
        <w:gridCol w:w="2410"/>
        <w:gridCol w:w="142"/>
      </w:tblGrid>
      <w:tr w14:paraId="20BC4F4C">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3B937931">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54733F9">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582097B4">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5D5D06A5">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1C22464F">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预算数</w:t>
            </w:r>
          </w:p>
        </w:tc>
      </w:tr>
      <w:tr w14:paraId="3C6101A9">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32C264A">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72689ABB">
            <w:pPr>
              <w:widowControl/>
              <w:spacing w:line="240" w:lineRule="auto"/>
              <w:jc w:val="right"/>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712.55　</w:t>
            </w:r>
          </w:p>
        </w:tc>
      </w:tr>
      <w:tr w14:paraId="4944CA0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2784C8C">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46281173">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8A4B675">
            <w:pPr>
              <w:widowControl/>
              <w:spacing w:line="240" w:lineRule="auto"/>
              <w:jc w:val="right"/>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659.38　</w:t>
            </w:r>
          </w:p>
        </w:tc>
      </w:tr>
      <w:tr w14:paraId="603A124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5791F0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768285B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17C1E183">
            <w:pPr>
              <w:widowControl/>
              <w:spacing w:line="240" w:lineRule="auto"/>
              <w:jc w:val="right"/>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208.36　</w:t>
            </w:r>
          </w:p>
        </w:tc>
      </w:tr>
      <w:tr w14:paraId="10E9B5B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2BD1F8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3B0ECB6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345ABD23">
            <w:pPr>
              <w:widowControl/>
              <w:spacing w:line="240" w:lineRule="auto"/>
              <w:jc w:val="right"/>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72.14　</w:t>
            </w:r>
          </w:p>
        </w:tc>
      </w:tr>
      <w:tr w14:paraId="740C3AE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EF74E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3FFA409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6AC16626">
            <w:pPr>
              <w:widowControl/>
              <w:spacing w:line="240" w:lineRule="auto"/>
              <w:jc w:val="right"/>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146.69　</w:t>
            </w:r>
          </w:p>
        </w:tc>
      </w:tr>
      <w:tr w14:paraId="21705E5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DDF22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7B43197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27FDD008">
            <w:pPr>
              <w:widowControl/>
              <w:spacing w:line="240" w:lineRule="auto"/>
              <w:jc w:val="right"/>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　</w:t>
            </w:r>
          </w:p>
        </w:tc>
      </w:tr>
      <w:tr w14:paraId="0BEFD3B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6F60A6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64518CB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0AAC9E6D">
            <w:pPr>
              <w:widowControl/>
              <w:spacing w:line="240" w:lineRule="auto"/>
              <w:jc w:val="right"/>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71.07　</w:t>
            </w:r>
          </w:p>
        </w:tc>
      </w:tr>
      <w:tr w14:paraId="17C63CC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7B93A5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09E967A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5C87DA3A">
            <w:pPr>
              <w:widowControl/>
              <w:spacing w:line="240" w:lineRule="auto"/>
              <w:jc w:val="right"/>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83.47　</w:t>
            </w:r>
          </w:p>
        </w:tc>
      </w:tr>
      <w:tr w14:paraId="5378642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3C2D7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54ECCA4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5CED262A">
            <w:pPr>
              <w:widowControl/>
              <w:spacing w:line="240" w:lineRule="auto"/>
              <w:jc w:val="right"/>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　</w:t>
            </w:r>
          </w:p>
        </w:tc>
      </w:tr>
      <w:tr w14:paraId="7723726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7EB54C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51AAF38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0E9617DA">
            <w:pPr>
              <w:widowControl/>
              <w:spacing w:line="240" w:lineRule="auto"/>
              <w:jc w:val="right"/>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37.84　</w:t>
            </w:r>
          </w:p>
        </w:tc>
      </w:tr>
      <w:tr w14:paraId="2F2883E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D0C4A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3EC0AFC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739EF197">
            <w:pPr>
              <w:widowControl/>
              <w:spacing w:line="240" w:lineRule="auto"/>
              <w:jc w:val="right"/>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　</w:t>
            </w:r>
          </w:p>
        </w:tc>
      </w:tr>
      <w:tr w14:paraId="178646D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F94265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4550480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34464A42">
            <w:pPr>
              <w:widowControl/>
              <w:spacing w:line="240" w:lineRule="auto"/>
              <w:jc w:val="right"/>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0.66　</w:t>
            </w:r>
          </w:p>
        </w:tc>
      </w:tr>
      <w:tr w14:paraId="7CCCDBD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937C0C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442DC25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6CB9BE70">
            <w:pPr>
              <w:widowControl/>
              <w:spacing w:line="240" w:lineRule="auto"/>
              <w:jc w:val="right"/>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39.15　</w:t>
            </w:r>
          </w:p>
        </w:tc>
      </w:tr>
      <w:tr w14:paraId="47769C5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95DA4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1562073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43CF5743">
            <w:pPr>
              <w:widowControl/>
              <w:spacing w:line="240" w:lineRule="auto"/>
              <w:jc w:val="right"/>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　</w:t>
            </w:r>
          </w:p>
        </w:tc>
      </w:tr>
      <w:tr w14:paraId="69B8E21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DBD6B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6869C80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D6D9068">
            <w:pPr>
              <w:widowControl/>
              <w:spacing w:line="240" w:lineRule="auto"/>
              <w:jc w:val="right"/>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　</w:t>
            </w:r>
          </w:p>
        </w:tc>
      </w:tr>
      <w:tr w14:paraId="79BB76B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7B1ACDF">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630A5709">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82C4429">
            <w:pPr>
              <w:widowControl/>
              <w:spacing w:line="240" w:lineRule="auto"/>
              <w:jc w:val="right"/>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23.79　</w:t>
            </w:r>
          </w:p>
        </w:tc>
      </w:tr>
      <w:tr w14:paraId="6D494DE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DA1786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7EA17A5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72973AA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F3A3A6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06EE4B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3ECE8B4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338707F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6D83C5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C0539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2519E9D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60D3062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839F7D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69CFF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5515B67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4F67199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B0C685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F53CD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4A1CD68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715095A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2ED0D9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CDE0E0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12E9C0C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151A859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8452EF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34E6B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3E22240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4417F93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00A633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9F876A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079C3CB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388F22B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BF9AF4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6A2FCA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546E7EE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6DE1691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41E98B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15B94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1439211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50A3AB1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053CD1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D5AAE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1102651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F92BE5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25387D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E6931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0A50532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407F915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8F82FA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ABDAF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7654DCC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4E137ED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F2C572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CD3C95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08E8C63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23E08AF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90FAF7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BE14F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7647F71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08327B3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F7304D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686FB0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113D021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140E4E9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4.80</w:t>
            </w:r>
            <w:r>
              <w:rPr>
                <w:rFonts w:hint="eastAsia" w:ascii="宋体" w:hAnsi="宋体" w:eastAsia="宋体" w:cs="宋体"/>
                <w:color w:val="000000"/>
                <w:kern w:val="0"/>
                <w:sz w:val="18"/>
                <w:szCs w:val="18"/>
              </w:rPr>
              <w:t>　</w:t>
            </w:r>
          </w:p>
        </w:tc>
      </w:tr>
      <w:tr w14:paraId="4145FEC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3F721D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5DE28C6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06A84E7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F12016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7040E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6428932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1D702B4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BE154A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02349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2FD53D6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2B1D154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59C012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941BB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7A2348D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4FA20FD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944E84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3CB12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597785B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1294097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1D4B63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1B593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35505E0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2319C86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6A12E7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5B9950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0F3D057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65C1738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F077F9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A5A30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375E2B1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374DE05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5.65</w:t>
            </w:r>
            <w:r>
              <w:rPr>
                <w:rFonts w:hint="eastAsia" w:ascii="宋体" w:hAnsi="宋体" w:eastAsia="宋体" w:cs="宋体"/>
                <w:color w:val="000000"/>
                <w:kern w:val="0"/>
                <w:sz w:val="18"/>
                <w:szCs w:val="18"/>
              </w:rPr>
              <w:t>　</w:t>
            </w:r>
          </w:p>
        </w:tc>
      </w:tr>
      <w:tr w14:paraId="493CFD6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15B31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7D1AA83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1FBC95D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12.30</w:t>
            </w:r>
            <w:r>
              <w:rPr>
                <w:rFonts w:hint="eastAsia" w:ascii="宋体" w:hAnsi="宋体" w:eastAsia="宋体" w:cs="宋体"/>
                <w:color w:val="000000"/>
                <w:kern w:val="0"/>
                <w:sz w:val="18"/>
                <w:szCs w:val="18"/>
              </w:rPr>
              <w:t>　</w:t>
            </w:r>
          </w:p>
        </w:tc>
      </w:tr>
      <w:tr w14:paraId="7ACF844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85114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7D145F7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3BBAEC2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7BDE2B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BA692F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7C2F128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3449DE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1.04</w:t>
            </w:r>
            <w:r>
              <w:rPr>
                <w:rFonts w:hint="eastAsia" w:ascii="宋体" w:hAnsi="宋体" w:eastAsia="宋体" w:cs="宋体"/>
                <w:color w:val="000000"/>
                <w:kern w:val="0"/>
                <w:sz w:val="18"/>
                <w:szCs w:val="18"/>
              </w:rPr>
              <w:t>　</w:t>
            </w:r>
          </w:p>
        </w:tc>
      </w:tr>
      <w:tr w14:paraId="4C79CA3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974E26">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27BFBD0F">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48C2D22">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color w:val="000000"/>
                <w:kern w:val="0"/>
                <w:sz w:val="18"/>
                <w:szCs w:val="18"/>
                <w:lang w:val="en-US" w:eastAsia="zh-CN"/>
              </w:rPr>
              <w:t>25.13</w:t>
            </w:r>
            <w:r>
              <w:rPr>
                <w:rFonts w:hint="eastAsia" w:ascii="宋体" w:hAnsi="宋体" w:eastAsia="宋体" w:cs="宋体"/>
                <w:b/>
                <w:bCs/>
                <w:color w:val="000000"/>
                <w:kern w:val="0"/>
                <w:sz w:val="18"/>
                <w:szCs w:val="18"/>
              </w:rPr>
              <w:t>　</w:t>
            </w:r>
          </w:p>
        </w:tc>
      </w:tr>
      <w:tr w14:paraId="3866915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588E80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704C98C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1A90DC7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0CB1CD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26DF1F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756F19C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0A1168A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653949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F7704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1BEDAB4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1806CE6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9924FB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3E76D3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50301A3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5BC0F52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008FE3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6A08C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31F3641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DFAF1A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7.36</w:t>
            </w:r>
            <w:r>
              <w:rPr>
                <w:rFonts w:hint="eastAsia" w:ascii="宋体" w:hAnsi="宋体" w:eastAsia="宋体" w:cs="宋体"/>
                <w:color w:val="000000"/>
                <w:kern w:val="0"/>
                <w:sz w:val="18"/>
                <w:szCs w:val="18"/>
              </w:rPr>
              <w:t>　</w:t>
            </w:r>
          </w:p>
        </w:tc>
      </w:tr>
      <w:tr w14:paraId="248EFB9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D5A78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3CF0F1D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1869D4C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E13B15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5E0A77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450DFCC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73B454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4.47　</w:t>
            </w:r>
          </w:p>
        </w:tc>
      </w:tr>
      <w:tr w14:paraId="700A8F8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C1A7D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6AE706E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19D9802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F5A54C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E2D68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12D0854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308CAB14">
            <w:pPr>
              <w:widowControl/>
              <w:pBdr>
                <w:bottom w:val="single" w:color="auto" w:sz="6" w:space="1"/>
              </w:pBdr>
              <w:tabs>
                <w:tab w:val="center" w:pos="4153"/>
                <w:tab w:val="right" w:pos="8306"/>
              </w:tabs>
              <w:snapToGrid w:val="0"/>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50AED6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625FAD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56F48CF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6AC0BDE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6E9C1A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AFF41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164627E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3879D84E">
            <w:pPr>
              <w:widowControl/>
              <w:spacing w:line="240" w:lineRule="auto"/>
              <w:jc w:val="right"/>
              <w:rPr>
                <w:rFonts w:ascii="宋体" w:hAnsi="宋体" w:eastAsia="宋体" w:cs="宋体"/>
                <w:color w:val="000000"/>
                <w:kern w:val="0"/>
                <w:sz w:val="18"/>
                <w:szCs w:val="18"/>
              </w:rPr>
            </w:pPr>
          </w:p>
        </w:tc>
      </w:tr>
      <w:tr w14:paraId="0DFB610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44D52F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4950B34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E875F9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13.30</w:t>
            </w:r>
            <w:r>
              <w:rPr>
                <w:rFonts w:hint="eastAsia" w:ascii="宋体" w:hAnsi="宋体" w:eastAsia="宋体" w:cs="宋体"/>
                <w:color w:val="000000"/>
                <w:kern w:val="0"/>
                <w:sz w:val="18"/>
                <w:szCs w:val="18"/>
              </w:rPr>
              <w:t>　</w:t>
            </w:r>
          </w:p>
        </w:tc>
      </w:tr>
      <w:tr w14:paraId="4B77F31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D755DA">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07CF6F3B">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27942C9">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3805617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008D9F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676659F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5695990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F82A44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2DF0CA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5C7AB54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40820AC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1BB901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C4EEC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64C4726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5AACEDE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F8C6A5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CC4E9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4A2F856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40115C0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38B644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A80EE7">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3DFE65CC">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5395697F">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229D46F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9FD42D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5CEF37D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61610CA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745B67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CC1565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6122377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CCFC1A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60FB0F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6345A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79901AB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55CA52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2FE74F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173D3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3478728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402199C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CBC455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B7AD49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47977DB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4CDC549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6C637F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39808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3FAFCF9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3EA89FC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200D8C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FCAE3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1454BA5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3B95BE8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CFEE2C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88A53F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6F14516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B69272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BE431F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186BB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5D44A3F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1BD2ED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8F572E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93833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0952AB1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22B9714">
            <w:pPr>
              <w:widowControl/>
              <w:pBdr>
                <w:bottom w:val="single" w:color="auto" w:sz="6" w:space="1"/>
              </w:pBdr>
              <w:tabs>
                <w:tab w:val="center" w:pos="4153"/>
                <w:tab w:val="right" w:pos="8306"/>
              </w:tabs>
              <w:snapToGrid w:val="0"/>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5BBB67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031717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6615FDD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ABF48A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60B690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6D1CAB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51D8482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2315A6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8C56F7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191B7B">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5463D36E">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8A539B9">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color w:val="000000"/>
                <w:kern w:val="0"/>
                <w:sz w:val="18"/>
                <w:szCs w:val="18"/>
                <w:lang w:val="en-US" w:eastAsia="zh-CN"/>
              </w:rPr>
              <w:t>4.25</w:t>
            </w:r>
            <w:r>
              <w:rPr>
                <w:rFonts w:hint="eastAsia" w:ascii="宋体" w:hAnsi="宋体" w:eastAsia="宋体" w:cs="宋体"/>
                <w:b/>
                <w:bCs/>
                <w:color w:val="000000"/>
                <w:kern w:val="0"/>
                <w:sz w:val="18"/>
                <w:szCs w:val="18"/>
              </w:rPr>
              <w:t>　</w:t>
            </w:r>
          </w:p>
        </w:tc>
      </w:tr>
      <w:tr w14:paraId="564BDEB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54B68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7C056BA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50E7943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7B873A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C3428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2D47B05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C25142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BA48AB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C9F694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595C530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414471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FF7892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C7FEB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61628CB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57A2EF1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F8C04E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7A73EA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1D715CC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2F0FBC5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66541A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47289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3F294BA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71BC5C2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BC9F53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0D9F6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3ADAD29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6A70EA9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0EADD7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600C18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77EF6FA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09FF279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343A7A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584307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01EDA7F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2DF683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ECC0BA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3C306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46A279E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1599BD2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9DAF1D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B729F8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5FF615C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4F94C7C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C6FEB6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B4A6C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18F9970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4A9B96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C26D29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26E82F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6EA028C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3B5A65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717CE3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92B395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4FB69EC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9D1C4B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B6CD9B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C182C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1709F9F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0E4561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579F44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5CED0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7161799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C3D5AD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lang w:val="en-US" w:eastAsia="zh-CN"/>
              </w:rPr>
              <w:t>4.25</w:t>
            </w:r>
            <w:r>
              <w:rPr>
                <w:rFonts w:hint="eastAsia" w:ascii="宋体" w:hAnsi="宋体" w:eastAsia="宋体" w:cs="宋体"/>
                <w:kern w:val="0"/>
                <w:sz w:val="18"/>
                <w:szCs w:val="18"/>
              </w:rPr>
              <w:t>　</w:t>
            </w:r>
          </w:p>
        </w:tc>
      </w:tr>
      <w:tr w14:paraId="311674A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C55C6B">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4A965BA2">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01C04582">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1E4EF57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DA680D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2CC3758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6065CF7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E08F22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25047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6FE5D35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E8AE56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F99148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2611EC">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71ED639C">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7B30A82">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3C0EC67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96F9F6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7064136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24B2592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8F0435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6A3B6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21D5376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1C7BAA9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5CA498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060946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6579BA2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70A1804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76FE61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98581D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544B21E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735837A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F2A6EC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80CA9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3B53241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197663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E609BA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24984D">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0F85F147">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326FE75">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05017DE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60A6B7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2C30F9A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843715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C1F230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580D9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1E0D7D3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23A1584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437B8B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B02166">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5429E764">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F06B7BB">
            <w:pPr>
              <w:widowControl/>
              <w:spacing w:line="240" w:lineRule="auto"/>
              <w:jc w:val="right"/>
              <w:rPr>
                <w:rFonts w:ascii="宋体" w:hAnsi="宋体" w:eastAsia="宋体" w:cs="宋体"/>
                <w:bCs/>
                <w:kern w:val="0"/>
                <w:sz w:val="18"/>
                <w:szCs w:val="18"/>
              </w:rPr>
            </w:pPr>
          </w:p>
        </w:tc>
      </w:tr>
      <w:tr w14:paraId="6A02555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9667E4">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4E01C5E6">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5E2A3AC">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2F0017F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D9338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642F70B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855BC2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14B618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38DD7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1F65E1B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536CE07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950DE5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01767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630CC38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4966589A">
            <w:pPr>
              <w:widowControl/>
              <w:spacing w:line="240" w:lineRule="auto"/>
              <w:jc w:val="right"/>
              <w:rPr>
                <w:rFonts w:ascii="宋体" w:hAnsi="宋体" w:eastAsia="宋体" w:cs="宋体"/>
                <w:kern w:val="0"/>
                <w:sz w:val="18"/>
                <w:szCs w:val="18"/>
              </w:rPr>
            </w:pPr>
          </w:p>
        </w:tc>
      </w:tr>
      <w:tr w14:paraId="5C45FA9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46C9C5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437DF91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69A8E625">
            <w:pPr>
              <w:widowControl/>
              <w:spacing w:line="240" w:lineRule="auto"/>
              <w:jc w:val="right"/>
              <w:rPr>
                <w:rFonts w:ascii="宋体" w:hAnsi="宋体" w:eastAsia="宋体" w:cs="宋体"/>
                <w:kern w:val="0"/>
                <w:sz w:val="18"/>
                <w:szCs w:val="18"/>
              </w:rPr>
            </w:pPr>
          </w:p>
        </w:tc>
      </w:tr>
      <w:tr w14:paraId="59B2E50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B0C8B4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264D03E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91559F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5A89C438">
      <w:pPr>
        <w:widowControl/>
        <w:spacing w:line="300" w:lineRule="auto"/>
        <w:jc w:val="left"/>
        <w:rPr>
          <w:rFonts w:ascii="楷体" w:hAnsi="楷体" w:eastAsia="楷体" w:cs="Times New Roman"/>
          <w:kern w:val="0"/>
          <w:szCs w:val="21"/>
        </w:rPr>
      </w:pPr>
    </w:p>
    <w:p w14:paraId="3AC645A5">
      <w:pPr>
        <w:tabs>
          <w:tab w:val="left" w:pos="7513"/>
        </w:tabs>
        <w:adjustRightInd w:val="0"/>
        <w:snapToGrid w:val="0"/>
        <w:spacing w:line="300" w:lineRule="auto"/>
        <w:ind w:firstLine="403" w:firstLineChars="126"/>
        <w:rPr>
          <w:rFonts w:hint="eastAsia" w:ascii="黑体" w:hAnsi="黑体" w:eastAsia="楷体"/>
          <w:sz w:val="32"/>
          <w:szCs w:val="32"/>
          <w:lang w:val="en-US" w:eastAsia="zh-CN"/>
        </w:rPr>
        <w:sectPr>
          <w:pgSz w:w="11906" w:h="16838"/>
          <w:pgMar w:top="1440" w:right="1800" w:bottom="1440" w:left="1800" w:header="851" w:footer="992" w:gutter="0"/>
          <w:cols w:space="425" w:num="1"/>
          <w:docGrid w:type="lines" w:linePitch="312" w:charSpace="0"/>
        </w:sectPr>
      </w:pPr>
    </w:p>
    <w:p w14:paraId="4935B367">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十、一般公共预算“三公”经费支出预算表</w:t>
      </w:r>
    </w:p>
    <w:tbl>
      <w:tblPr>
        <w:tblStyle w:val="11"/>
        <w:tblW w:w="7848" w:type="dxa"/>
        <w:tblInd w:w="93" w:type="dxa"/>
        <w:tblLayout w:type="autofit"/>
        <w:tblCellMar>
          <w:top w:w="0" w:type="dxa"/>
          <w:left w:w="108" w:type="dxa"/>
          <w:bottom w:w="0" w:type="dxa"/>
          <w:right w:w="108" w:type="dxa"/>
        </w:tblCellMar>
      </w:tblPr>
      <w:tblGrid>
        <w:gridCol w:w="4268"/>
        <w:gridCol w:w="3580"/>
      </w:tblGrid>
      <w:tr w14:paraId="089AA28F">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69E86968">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lang w:val="en-US" w:eastAsia="zh-CN"/>
              </w:rPr>
              <w:t>2026</w:t>
            </w:r>
            <w:r>
              <w:rPr>
                <w:rFonts w:hint="eastAsia" w:ascii="方正小标宋简体" w:hAnsi="黑体" w:eastAsia="方正小标宋简体" w:cs="宋体"/>
                <w:kern w:val="0"/>
                <w:sz w:val="32"/>
                <w:szCs w:val="32"/>
              </w:rPr>
              <w:t>年度一般公共预算“三公”经费支出预算表</w:t>
            </w:r>
          </w:p>
        </w:tc>
      </w:tr>
      <w:tr w14:paraId="0A322D5B">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28B518A6">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061A4B32">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74E7228C">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30E260">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6D3D041E">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预算数</w:t>
            </w:r>
          </w:p>
        </w:tc>
      </w:tr>
      <w:tr w14:paraId="1DB3CE03">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25874F13">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76CAD54B">
            <w:pPr>
              <w:widowControl/>
              <w:spacing w:line="240" w:lineRule="auto"/>
              <w:jc w:val="right"/>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10.45</w:t>
            </w:r>
          </w:p>
        </w:tc>
      </w:tr>
      <w:tr w14:paraId="764D744F">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4E5CCA97">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02F94532">
            <w:pPr>
              <w:widowControl/>
              <w:spacing w:line="240" w:lineRule="auto"/>
              <w:jc w:val="right"/>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0.00</w:t>
            </w:r>
          </w:p>
        </w:tc>
      </w:tr>
      <w:tr w14:paraId="7D3FF2D2">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2E456262">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0F2E63FA">
            <w:pPr>
              <w:widowControl/>
              <w:spacing w:line="240" w:lineRule="auto"/>
              <w:jc w:val="right"/>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4.80</w:t>
            </w:r>
          </w:p>
        </w:tc>
      </w:tr>
      <w:tr w14:paraId="494BD78D">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08992A4E">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33192088">
            <w:pPr>
              <w:widowControl/>
              <w:spacing w:line="240" w:lineRule="auto"/>
              <w:jc w:val="right"/>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5.65</w:t>
            </w:r>
          </w:p>
        </w:tc>
      </w:tr>
      <w:tr w14:paraId="2E6A1710">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2355BC7A">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0ADCE22A">
            <w:pPr>
              <w:widowControl/>
              <w:spacing w:line="240" w:lineRule="auto"/>
              <w:jc w:val="right"/>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0.00</w:t>
            </w:r>
          </w:p>
        </w:tc>
      </w:tr>
      <w:tr w14:paraId="467152D1">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473521D0">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5E37059C">
            <w:pPr>
              <w:widowControl/>
              <w:spacing w:line="240" w:lineRule="auto"/>
              <w:jc w:val="right"/>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5.65</w:t>
            </w:r>
          </w:p>
        </w:tc>
      </w:tr>
    </w:tbl>
    <w:p w14:paraId="252F73FF">
      <w:pPr>
        <w:tabs>
          <w:tab w:val="left" w:pos="7513"/>
        </w:tabs>
        <w:adjustRightInd w:val="0"/>
        <w:snapToGrid w:val="0"/>
        <w:spacing w:line="300" w:lineRule="auto"/>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0A924FF8">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十一、部门专项资金管理清单目录</w:t>
      </w:r>
    </w:p>
    <w:tbl>
      <w:tblPr>
        <w:tblStyle w:val="11"/>
        <w:tblW w:w="13998" w:type="dxa"/>
        <w:tblInd w:w="93" w:type="dxa"/>
        <w:tblLayout w:type="fixed"/>
        <w:tblCellMar>
          <w:top w:w="0" w:type="dxa"/>
          <w:left w:w="108" w:type="dxa"/>
          <w:bottom w:w="0" w:type="dxa"/>
          <w:right w:w="108" w:type="dxa"/>
        </w:tblCellMar>
      </w:tblPr>
      <w:tblGrid>
        <w:gridCol w:w="1149"/>
        <w:gridCol w:w="1354"/>
        <w:gridCol w:w="1056"/>
        <w:gridCol w:w="1125"/>
        <w:gridCol w:w="1388"/>
        <w:gridCol w:w="889"/>
        <w:gridCol w:w="1134"/>
        <w:gridCol w:w="1040"/>
        <w:gridCol w:w="1200"/>
        <w:gridCol w:w="1200"/>
        <w:gridCol w:w="1188"/>
        <w:gridCol w:w="1275"/>
      </w:tblGrid>
      <w:tr w14:paraId="6F3F3EE3">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37F16685">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年度部门专项资金管理清单目录</w:t>
            </w:r>
          </w:p>
        </w:tc>
      </w:tr>
      <w:tr w14:paraId="1D48676F">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7180BD58">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29422664">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108C2BD2">
            <w:pPr>
              <w:widowControl/>
              <w:spacing w:line="240" w:lineRule="auto"/>
              <w:jc w:val="left"/>
              <w:rPr>
                <w:rFonts w:ascii="宋体" w:hAnsi="宋体" w:eastAsia="宋体" w:cs="宋体"/>
                <w:kern w:val="0"/>
                <w:sz w:val="24"/>
                <w:szCs w:val="24"/>
              </w:rPr>
            </w:pPr>
          </w:p>
        </w:tc>
        <w:tc>
          <w:tcPr>
            <w:tcW w:w="1125" w:type="dxa"/>
            <w:tcBorders>
              <w:top w:val="nil"/>
              <w:left w:val="nil"/>
              <w:bottom w:val="nil"/>
              <w:right w:val="nil"/>
            </w:tcBorders>
            <w:shd w:val="clear" w:color="auto" w:fill="auto"/>
            <w:noWrap/>
            <w:vAlign w:val="bottom"/>
          </w:tcPr>
          <w:p w14:paraId="492F8AA7">
            <w:pPr>
              <w:widowControl/>
              <w:spacing w:line="240" w:lineRule="auto"/>
              <w:jc w:val="left"/>
              <w:rPr>
                <w:rFonts w:ascii="宋体" w:hAnsi="宋体" w:eastAsia="宋体" w:cs="宋体"/>
                <w:kern w:val="0"/>
                <w:sz w:val="24"/>
                <w:szCs w:val="24"/>
              </w:rPr>
            </w:pPr>
          </w:p>
        </w:tc>
        <w:tc>
          <w:tcPr>
            <w:tcW w:w="1388" w:type="dxa"/>
            <w:tcBorders>
              <w:top w:val="nil"/>
              <w:left w:val="nil"/>
              <w:bottom w:val="nil"/>
              <w:right w:val="nil"/>
            </w:tcBorders>
            <w:shd w:val="clear" w:color="auto" w:fill="auto"/>
            <w:noWrap/>
            <w:vAlign w:val="bottom"/>
          </w:tcPr>
          <w:p w14:paraId="015A7F60">
            <w:pPr>
              <w:widowControl/>
              <w:spacing w:line="240" w:lineRule="auto"/>
              <w:jc w:val="left"/>
              <w:rPr>
                <w:rFonts w:ascii="宋体" w:hAnsi="宋体" w:eastAsia="宋体" w:cs="宋体"/>
                <w:kern w:val="0"/>
                <w:sz w:val="24"/>
                <w:szCs w:val="24"/>
              </w:rPr>
            </w:pPr>
          </w:p>
        </w:tc>
        <w:tc>
          <w:tcPr>
            <w:tcW w:w="889" w:type="dxa"/>
            <w:tcBorders>
              <w:top w:val="nil"/>
              <w:left w:val="nil"/>
              <w:bottom w:val="nil"/>
              <w:right w:val="nil"/>
            </w:tcBorders>
            <w:shd w:val="clear" w:color="auto" w:fill="auto"/>
            <w:noWrap/>
            <w:vAlign w:val="bottom"/>
          </w:tcPr>
          <w:p w14:paraId="47E0555F">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0A4870E8">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5CA45679">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1B82D50B">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0CB05A22">
            <w:pPr>
              <w:widowControl/>
              <w:spacing w:line="240" w:lineRule="auto"/>
              <w:jc w:val="left"/>
              <w:rPr>
                <w:rFonts w:ascii="宋体" w:hAnsi="宋体" w:eastAsia="宋体" w:cs="宋体"/>
                <w:kern w:val="0"/>
                <w:sz w:val="24"/>
                <w:szCs w:val="24"/>
              </w:rPr>
            </w:pPr>
          </w:p>
        </w:tc>
        <w:tc>
          <w:tcPr>
            <w:tcW w:w="1188" w:type="dxa"/>
            <w:tcBorders>
              <w:top w:val="nil"/>
              <w:left w:val="nil"/>
              <w:bottom w:val="nil"/>
              <w:right w:val="nil"/>
            </w:tcBorders>
          </w:tcPr>
          <w:p w14:paraId="30E60B64">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0D405F5F">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156D92CC">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D001761">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829F185">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B4EAD72">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立项依据</w:t>
            </w:r>
          </w:p>
        </w:tc>
        <w:tc>
          <w:tcPr>
            <w:tcW w:w="112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FF06571">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执行年限</w:t>
            </w:r>
          </w:p>
        </w:tc>
        <w:tc>
          <w:tcPr>
            <w:tcW w:w="138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8883927">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实施规划</w:t>
            </w:r>
          </w:p>
        </w:tc>
        <w:tc>
          <w:tcPr>
            <w:tcW w:w="88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3BA4F2D">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A01E00D">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14:paraId="28E21189">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A993BF8">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资金分配办法及支出标准</w:t>
            </w:r>
          </w:p>
        </w:tc>
      </w:tr>
      <w:tr w14:paraId="05513296">
        <w:tblPrEx>
          <w:tblCellMar>
            <w:top w:w="0" w:type="dxa"/>
            <w:left w:w="108" w:type="dxa"/>
            <w:bottom w:w="0" w:type="dxa"/>
            <w:right w:w="108" w:type="dxa"/>
          </w:tblCellMar>
        </w:tblPrEx>
        <w:trPr>
          <w:trHeight w:val="64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27E9E048">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2A526AB7">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1C38FA78">
            <w:pPr>
              <w:widowControl/>
              <w:spacing w:line="240" w:lineRule="auto"/>
              <w:jc w:val="left"/>
              <w:rPr>
                <w:rFonts w:ascii="宋体" w:hAnsi="宋体" w:eastAsia="宋体" w:cs="宋体"/>
                <w:b/>
                <w:bCs/>
                <w:color w:val="000000"/>
                <w:kern w:val="0"/>
                <w:sz w:val="22"/>
              </w:rPr>
            </w:pPr>
          </w:p>
        </w:tc>
        <w:tc>
          <w:tcPr>
            <w:tcW w:w="1125" w:type="dxa"/>
            <w:vMerge w:val="continue"/>
            <w:tcBorders>
              <w:top w:val="single" w:color="auto" w:sz="4" w:space="0"/>
              <w:left w:val="single" w:color="auto" w:sz="4" w:space="0"/>
              <w:bottom w:val="single" w:color="000000" w:sz="4" w:space="0"/>
              <w:right w:val="single" w:color="auto" w:sz="4" w:space="0"/>
            </w:tcBorders>
            <w:vAlign w:val="center"/>
          </w:tcPr>
          <w:p w14:paraId="351BD263">
            <w:pPr>
              <w:widowControl/>
              <w:spacing w:line="240" w:lineRule="auto"/>
              <w:jc w:val="left"/>
              <w:rPr>
                <w:rFonts w:ascii="宋体" w:hAnsi="宋体" w:eastAsia="宋体" w:cs="宋体"/>
                <w:b/>
                <w:bCs/>
                <w:color w:val="000000"/>
                <w:kern w:val="0"/>
                <w:sz w:val="22"/>
              </w:rPr>
            </w:pPr>
          </w:p>
        </w:tc>
        <w:tc>
          <w:tcPr>
            <w:tcW w:w="1388" w:type="dxa"/>
            <w:vMerge w:val="continue"/>
            <w:tcBorders>
              <w:top w:val="single" w:color="auto" w:sz="4" w:space="0"/>
              <w:left w:val="single" w:color="auto" w:sz="4" w:space="0"/>
              <w:bottom w:val="single" w:color="000000" w:sz="4" w:space="0"/>
              <w:right w:val="single" w:color="auto" w:sz="4" w:space="0"/>
            </w:tcBorders>
            <w:vAlign w:val="center"/>
          </w:tcPr>
          <w:p w14:paraId="463F34B6">
            <w:pPr>
              <w:widowControl/>
              <w:spacing w:line="240" w:lineRule="auto"/>
              <w:jc w:val="left"/>
              <w:rPr>
                <w:rFonts w:ascii="宋体" w:hAnsi="宋体" w:eastAsia="宋体" w:cs="宋体"/>
                <w:b/>
                <w:bCs/>
                <w:color w:val="000000"/>
                <w:kern w:val="0"/>
                <w:sz w:val="22"/>
              </w:rPr>
            </w:pPr>
          </w:p>
        </w:tc>
        <w:tc>
          <w:tcPr>
            <w:tcW w:w="889" w:type="dxa"/>
            <w:vMerge w:val="continue"/>
            <w:tcBorders>
              <w:top w:val="single" w:color="auto" w:sz="4" w:space="0"/>
              <w:left w:val="single" w:color="auto" w:sz="4" w:space="0"/>
              <w:bottom w:val="single" w:color="000000" w:sz="4" w:space="0"/>
              <w:right w:val="single" w:color="auto" w:sz="4" w:space="0"/>
            </w:tcBorders>
            <w:vAlign w:val="center"/>
          </w:tcPr>
          <w:p w14:paraId="0BF4BCAD">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0696FB17">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63EB02CD">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372949B9">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2A38226D">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tcPr>
          <w:p w14:paraId="790D560E">
            <w:pPr>
              <w:widowControl/>
              <w:spacing w:line="240" w:lineRule="auto"/>
              <w:jc w:val="left"/>
              <w:rPr>
                <w:rFonts w:ascii="宋体" w:hAnsi="宋体" w:eastAsia="宋体" w:cs="宋体"/>
                <w:b/>
                <w:bCs/>
                <w:color w:val="000000"/>
                <w:kern w:val="0"/>
                <w:sz w:val="22"/>
              </w:rPr>
            </w:pPr>
            <w:r>
              <w:rPr>
                <w:rFonts w:hint="eastAsia" w:ascii="宋体" w:hAnsi="宋体" w:eastAsia="宋体" w:cs="宋体"/>
                <w:b/>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0DCE8CD9">
            <w:pPr>
              <w:widowControl/>
              <w:spacing w:line="240" w:lineRule="auto"/>
              <w:jc w:val="left"/>
              <w:rPr>
                <w:rFonts w:ascii="宋体" w:hAnsi="宋体" w:eastAsia="宋体" w:cs="宋体"/>
                <w:b/>
                <w:bCs/>
                <w:color w:val="000000"/>
                <w:kern w:val="0"/>
                <w:sz w:val="22"/>
              </w:rPr>
            </w:pPr>
          </w:p>
        </w:tc>
      </w:tr>
      <w:tr w14:paraId="1E66425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AC2EE92">
            <w:pPr>
              <w:widowControl/>
              <w:spacing w:line="240" w:lineRule="auto"/>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漳平市双洋镇人民政府</w:t>
            </w:r>
          </w:p>
        </w:tc>
        <w:tc>
          <w:tcPr>
            <w:tcW w:w="1354" w:type="dxa"/>
            <w:tcBorders>
              <w:top w:val="nil"/>
              <w:left w:val="nil"/>
              <w:bottom w:val="single" w:color="auto" w:sz="4" w:space="0"/>
              <w:right w:val="single" w:color="auto" w:sz="4" w:space="0"/>
            </w:tcBorders>
            <w:shd w:val="clear" w:color="auto" w:fill="auto"/>
            <w:noWrap/>
            <w:vAlign w:val="bottom"/>
          </w:tcPr>
          <w:p w14:paraId="50E4CBED">
            <w:pPr>
              <w:widowControl/>
              <w:spacing w:line="240" w:lineRule="auto"/>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需要自有资金采购</w:t>
            </w:r>
          </w:p>
        </w:tc>
        <w:tc>
          <w:tcPr>
            <w:tcW w:w="1056" w:type="dxa"/>
            <w:tcBorders>
              <w:top w:val="nil"/>
              <w:left w:val="nil"/>
              <w:bottom w:val="single" w:color="auto" w:sz="4" w:space="0"/>
              <w:right w:val="single" w:color="auto" w:sz="4" w:space="0"/>
            </w:tcBorders>
            <w:shd w:val="clear" w:color="auto" w:fill="auto"/>
            <w:noWrap/>
            <w:vAlign w:val="bottom"/>
          </w:tcPr>
          <w:p w14:paraId="70E3E267">
            <w:pPr>
              <w:widowControl/>
              <w:spacing w:line="240" w:lineRule="auto"/>
              <w:ind w:firstLine="374" w:firstLineChars="208"/>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125" w:type="dxa"/>
            <w:tcBorders>
              <w:top w:val="nil"/>
              <w:left w:val="nil"/>
              <w:bottom w:val="single" w:color="auto" w:sz="4" w:space="0"/>
              <w:right w:val="single" w:color="auto" w:sz="4" w:space="0"/>
            </w:tcBorders>
            <w:shd w:val="clear" w:color="auto" w:fill="auto"/>
            <w:noWrap/>
            <w:vAlign w:val="bottom"/>
          </w:tcPr>
          <w:p w14:paraId="0172AE5E">
            <w:pPr>
              <w:widowControl/>
              <w:spacing w:line="240" w:lineRule="auto"/>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w:t>
            </w:r>
          </w:p>
        </w:tc>
        <w:tc>
          <w:tcPr>
            <w:tcW w:w="1388" w:type="dxa"/>
            <w:tcBorders>
              <w:top w:val="nil"/>
              <w:left w:val="nil"/>
              <w:bottom w:val="single" w:color="auto" w:sz="4" w:space="0"/>
              <w:right w:val="single" w:color="auto" w:sz="4" w:space="0"/>
            </w:tcBorders>
            <w:shd w:val="clear" w:color="auto" w:fill="auto"/>
            <w:noWrap/>
            <w:vAlign w:val="bottom"/>
          </w:tcPr>
          <w:p w14:paraId="3C334435">
            <w:pPr>
              <w:widowControl/>
              <w:spacing w:line="240" w:lineRule="auto"/>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需要自有资金采购</w:t>
            </w:r>
          </w:p>
        </w:tc>
        <w:tc>
          <w:tcPr>
            <w:tcW w:w="889" w:type="dxa"/>
            <w:tcBorders>
              <w:top w:val="nil"/>
              <w:left w:val="nil"/>
              <w:bottom w:val="single" w:color="auto" w:sz="4" w:space="0"/>
              <w:right w:val="single" w:color="auto" w:sz="4" w:space="0"/>
            </w:tcBorders>
            <w:shd w:val="clear" w:color="auto" w:fill="auto"/>
            <w:noWrap/>
            <w:vAlign w:val="bottom"/>
          </w:tcPr>
          <w:p w14:paraId="3744E32C">
            <w:pPr>
              <w:widowControl/>
              <w:spacing w:line="240" w:lineRule="auto"/>
              <w:ind w:firstLine="374" w:firstLineChars="208"/>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134" w:type="dxa"/>
            <w:tcBorders>
              <w:top w:val="nil"/>
              <w:left w:val="nil"/>
              <w:bottom w:val="single" w:color="auto" w:sz="4" w:space="0"/>
              <w:right w:val="single" w:color="auto" w:sz="4" w:space="0"/>
            </w:tcBorders>
            <w:shd w:val="clear" w:color="auto" w:fill="auto"/>
            <w:noWrap/>
            <w:vAlign w:val="bottom"/>
          </w:tcPr>
          <w:p w14:paraId="2365AA2B">
            <w:pPr>
              <w:widowControl/>
              <w:spacing w:line="240" w:lineRule="auto"/>
              <w:ind w:firstLine="374" w:firstLineChars="208"/>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040" w:type="dxa"/>
            <w:tcBorders>
              <w:top w:val="nil"/>
              <w:left w:val="nil"/>
              <w:bottom w:val="single" w:color="auto" w:sz="4" w:space="0"/>
              <w:right w:val="single" w:color="auto" w:sz="4" w:space="0"/>
            </w:tcBorders>
            <w:shd w:val="clear" w:color="auto" w:fill="auto"/>
            <w:noWrap/>
            <w:vAlign w:val="bottom"/>
          </w:tcPr>
          <w:p w14:paraId="44D7F4D7">
            <w:pPr>
              <w:widowControl/>
              <w:spacing w:line="240" w:lineRule="auto"/>
              <w:ind w:firstLine="374" w:firstLineChars="208"/>
              <w:jc w:val="center"/>
              <w:rPr>
                <w:rFonts w:hint="default" w:ascii="宋体" w:hAnsi="宋体" w:eastAsia="宋体" w:cs="宋体"/>
                <w:color w:val="000000"/>
                <w:kern w:val="0"/>
                <w:sz w:val="18"/>
                <w:szCs w:val="18"/>
                <w:lang w:val="en-US"/>
              </w:rPr>
            </w:pPr>
            <w:r>
              <w:rPr>
                <w:rFonts w:hint="eastAsia" w:ascii="宋体" w:hAnsi="宋体" w:eastAsia="宋体" w:cs="宋体"/>
                <w:color w:val="000000"/>
                <w:kern w:val="0"/>
                <w:sz w:val="18"/>
                <w:szCs w:val="18"/>
                <w:lang w:val="en-US" w:eastAsia="zh-CN"/>
              </w:rPr>
              <w:t>0.00</w:t>
            </w:r>
          </w:p>
        </w:tc>
        <w:tc>
          <w:tcPr>
            <w:tcW w:w="1200" w:type="dxa"/>
            <w:tcBorders>
              <w:top w:val="nil"/>
              <w:left w:val="nil"/>
              <w:bottom w:val="single" w:color="auto" w:sz="4" w:space="0"/>
              <w:right w:val="single" w:color="auto" w:sz="4" w:space="0"/>
            </w:tcBorders>
            <w:shd w:val="clear" w:color="auto" w:fill="auto"/>
            <w:noWrap/>
            <w:vAlign w:val="bottom"/>
          </w:tcPr>
          <w:p w14:paraId="09A8C566">
            <w:pPr>
              <w:widowControl/>
              <w:spacing w:line="240" w:lineRule="auto"/>
              <w:ind w:firstLine="374" w:firstLineChars="208"/>
              <w:jc w:val="center"/>
              <w:rPr>
                <w:rFonts w:hint="default" w:ascii="宋体" w:hAnsi="宋体" w:eastAsia="宋体" w:cs="宋体"/>
                <w:color w:val="000000"/>
                <w:kern w:val="0"/>
                <w:sz w:val="18"/>
                <w:szCs w:val="18"/>
                <w:lang w:val="en-US"/>
              </w:rPr>
            </w:pPr>
            <w:r>
              <w:rPr>
                <w:rFonts w:hint="eastAsia" w:ascii="宋体" w:hAnsi="宋体" w:eastAsia="宋体" w:cs="宋体"/>
                <w:color w:val="000000"/>
                <w:kern w:val="0"/>
                <w:sz w:val="18"/>
                <w:szCs w:val="18"/>
                <w:lang w:val="en-US" w:eastAsia="zh-CN"/>
              </w:rPr>
              <w:t>0.00</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4807FC1D">
            <w:pPr>
              <w:widowControl/>
              <w:spacing w:line="240" w:lineRule="auto"/>
              <w:ind w:firstLine="374" w:firstLineChars="208"/>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0.00</w:t>
            </w:r>
          </w:p>
        </w:tc>
        <w:tc>
          <w:tcPr>
            <w:tcW w:w="1188" w:type="dxa"/>
            <w:tcBorders>
              <w:top w:val="single" w:color="auto" w:sz="4" w:space="0"/>
              <w:left w:val="single" w:color="auto" w:sz="4" w:space="0"/>
              <w:bottom w:val="single" w:color="auto" w:sz="4" w:space="0"/>
              <w:right w:val="single" w:color="auto" w:sz="4" w:space="0"/>
            </w:tcBorders>
          </w:tcPr>
          <w:p w14:paraId="6BC01374">
            <w:pPr>
              <w:widowControl/>
              <w:spacing w:line="240" w:lineRule="auto"/>
              <w:ind w:firstLine="374" w:firstLineChars="208"/>
              <w:jc w:val="center"/>
              <w:rPr>
                <w:rFonts w:hint="eastAsia" w:ascii="宋体" w:hAnsi="宋体" w:eastAsia="宋体" w:cs="宋体"/>
                <w:color w:val="000000"/>
                <w:kern w:val="0"/>
                <w:sz w:val="18"/>
                <w:szCs w:val="18"/>
                <w:lang w:val="en-US" w:eastAsia="zh-CN"/>
              </w:rPr>
            </w:pPr>
          </w:p>
          <w:p w14:paraId="13E1E4AE">
            <w:pPr>
              <w:widowControl/>
              <w:spacing w:line="240" w:lineRule="auto"/>
              <w:ind w:firstLine="374" w:firstLineChars="208"/>
              <w:jc w:val="center"/>
              <w:rPr>
                <w:rFonts w:hint="eastAsia" w:ascii="宋体" w:hAnsi="宋体" w:eastAsia="宋体" w:cs="宋体"/>
                <w:color w:val="000000"/>
                <w:kern w:val="0"/>
                <w:sz w:val="18"/>
                <w:szCs w:val="18"/>
                <w:lang w:val="en-US" w:eastAsia="zh-CN"/>
              </w:rPr>
            </w:pPr>
          </w:p>
          <w:p w14:paraId="4D06505F">
            <w:pPr>
              <w:widowControl/>
              <w:spacing w:line="240" w:lineRule="auto"/>
              <w:ind w:firstLine="374" w:firstLineChars="208"/>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0.00</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03004F5">
            <w:pPr>
              <w:widowControl/>
              <w:spacing w:line="240" w:lineRule="auto"/>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阶段性项目</w:t>
            </w:r>
          </w:p>
        </w:tc>
      </w:tr>
    </w:tbl>
    <w:p w14:paraId="26DF7AE7">
      <w:pPr>
        <w:tabs>
          <w:tab w:val="left" w:pos="480"/>
        </w:tabs>
        <w:spacing w:line="240" w:lineRule="auto"/>
        <w:rPr>
          <w:rFonts w:ascii="楷体" w:hAnsi="楷体" w:eastAsia="楷体"/>
        </w:rPr>
        <w:sectPr>
          <w:pgSz w:w="16838" w:h="11906" w:orient="landscape"/>
          <w:pgMar w:top="1800" w:right="1440" w:bottom="1800" w:left="1440" w:header="851" w:footer="992" w:gutter="0"/>
          <w:cols w:space="425" w:num="1"/>
          <w:docGrid w:type="lines" w:linePitch="312" w:charSpace="0"/>
        </w:sectPr>
      </w:pPr>
    </w:p>
    <w:p w14:paraId="79CFF374">
      <w:pPr>
        <w:pStyle w:val="4"/>
        <w:jc w:val="center"/>
        <w:rPr>
          <w:rFonts w:ascii="黑体" w:hAnsi="黑体" w:eastAsia="黑体"/>
          <w:sz w:val="36"/>
          <w:szCs w:val="36"/>
          <w:lang w:eastAsia="zh-CN"/>
        </w:rPr>
      </w:pPr>
    </w:p>
    <w:p w14:paraId="1E1C2317">
      <w:pPr>
        <w:pStyle w:val="4"/>
        <w:jc w:val="center"/>
        <w:rPr>
          <w:rFonts w:ascii="黑体" w:hAnsi="黑体" w:eastAsia="黑体"/>
          <w:sz w:val="36"/>
          <w:szCs w:val="36"/>
          <w:lang w:eastAsia="zh-CN"/>
        </w:rPr>
      </w:pPr>
    </w:p>
    <w:p w14:paraId="385EB9DF">
      <w:pPr>
        <w:pStyle w:val="4"/>
        <w:jc w:val="center"/>
        <w:rPr>
          <w:rFonts w:ascii="黑体" w:hAnsi="黑体" w:eastAsia="黑体"/>
          <w:sz w:val="36"/>
          <w:szCs w:val="36"/>
          <w:lang w:eastAsia="zh-CN"/>
        </w:rPr>
      </w:pPr>
    </w:p>
    <w:p w14:paraId="065723CE">
      <w:pPr>
        <w:pStyle w:val="4"/>
        <w:jc w:val="center"/>
        <w:rPr>
          <w:rFonts w:ascii="黑体" w:hAnsi="黑体" w:eastAsia="黑体"/>
          <w:sz w:val="36"/>
          <w:szCs w:val="36"/>
          <w:lang w:eastAsia="zh-CN"/>
        </w:rPr>
      </w:pPr>
    </w:p>
    <w:p w14:paraId="265EA83B">
      <w:pPr>
        <w:pStyle w:val="4"/>
        <w:jc w:val="center"/>
        <w:rPr>
          <w:rFonts w:ascii="黑体" w:hAnsi="黑体" w:eastAsia="黑体"/>
          <w:sz w:val="36"/>
          <w:szCs w:val="36"/>
          <w:lang w:eastAsia="zh-CN"/>
        </w:rPr>
      </w:pPr>
    </w:p>
    <w:p w14:paraId="1EE2BD5A">
      <w:pPr>
        <w:pStyle w:val="4"/>
        <w:jc w:val="center"/>
        <w:rPr>
          <w:rFonts w:ascii="黑体" w:hAnsi="黑体" w:eastAsia="黑体"/>
          <w:sz w:val="36"/>
          <w:szCs w:val="36"/>
          <w:lang w:eastAsia="zh-CN"/>
        </w:rPr>
      </w:pPr>
    </w:p>
    <w:p w14:paraId="417D1519">
      <w:pPr>
        <w:pStyle w:val="4"/>
        <w:jc w:val="center"/>
        <w:rPr>
          <w:rFonts w:ascii="黑体" w:hAnsi="黑体" w:eastAsia="黑体"/>
          <w:sz w:val="36"/>
          <w:szCs w:val="36"/>
          <w:lang w:eastAsia="zh-CN"/>
        </w:rPr>
      </w:pPr>
    </w:p>
    <w:p w14:paraId="4764723D">
      <w:pPr>
        <w:pStyle w:val="4"/>
        <w:jc w:val="center"/>
        <w:rPr>
          <w:rFonts w:ascii="黑体" w:hAnsi="黑体" w:eastAsia="黑体"/>
          <w:sz w:val="36"/>
          <w:szCs w:val="36"/>
          <w:lang w:eastAsia="zh-CN"/>
        </w:rPr>
      </w:pPr>
    </w:p>
    <w:p w14:paraId="7BB49272">
      <w:pPr>
        <w:pStyle w:val="4"/>
        <w:rPr>
          <w:rFonts w:ascii="黑体" w:hAnsi="黑体" w:eastAsia="黑体"/>
          <w:sz w:val="56"/>
          <w:szCs w:val="36"/>
          <w:lang w:eastAsia="zh-CN"/>
        </w:rPr>
      </w:pPr>
      <w:r>
        <w:rPr>
          <w:rFonts w:hint="eastAsia" w:ascii="黑体" w:hAnsi="黑体" w:eastAsia="黑体"/>
          <w:sz w:val="56"/>
          <w:szCs w:val="36"/>
          <w:lang w:eastAsia="zh-CN"/>
        </w:rPr>
        <w:t>第三部分</w:t>
      </w:r>
    </w:p>
    <w:p w14:paraId="51353C96">
      <w:pPr>
        <w:pStyle w:val="4"/>
        <w:jc w:val="center"/>
        <w:rPr>
          <w:rFonts w:ascii="黑体" w:hAnsi="黑体" w:eastAsia="黑体"/>
          <w:sz w:val="56"/>
          <w:szCs w:val="36"/>
          <w:lang w:eastAsia="zh-CN"/>
        </w:rPr>
      </w:pPr>
      <w:r>
        <w:rPr>
          <w:rFonts w:hint="eastAsia" w:ascii="黑体" w:hAnsi="黑体" w:eastAsia="黑体"/>
          <w:sz w:val="56"/>
          <w:szCs w:val="36"/>
          <w:lang w:val="en-US" w:eastAsia="zh-CN"/>
        </w:rPr>
        <w:t>2026</w:t>
      </w:r>
      <w:r>
        <w:rPr>
          <w:rFonts w:hint="eastAsia" w:ascii="黑体" w:hAnsi="黑体" w:eastAsia="黑体"/>
          <w:sz w:val="56"/>
          <w:szCs w:val="36"/>
          <w:lang w:eastAsia="zh-CN"/>
        </w:rPr>
        <w:t>年度部门预算情况说明</w:t>
      </w:r>
    </w:p>
    <w:p w14:paraId="1EBF7332">
      <w:pPr>
        <w:ind w:firstLine="640" w:firstLineChars="200"/>
        <w:rPr>
          <w:rFonts w:ascii="仿宋" w:hAnsi="仿宋" w:eastAsia="仿宋" w:cs="仿宋_GB2312"/>
          <w:sz w:val="32"/>
          <w:szCs w:val="32"/>
        </w:rPr>
      </w:pPr>
    </w:p>
    <w:p w14:paraId="23911079">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158DF054">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一、预算收支总体情况</w:t>
      </w:r>
    </w:p>
    <w:p w14:paraId="7D0CE338">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按照综合预算的原则，部门所有收入和支出均纳入部门预算管理。</w:t>
      </w:r>
      <w:r>
        <w:rPr>
          <w:rFonts w:hint="eastAsia" w:ascii="仿宋" w:hAnsi="仿宋" w:eastAsia="仿宋"/>
          <w:sz w:val="32"/>
          <w:szCs w:val="32"/>
          <w:lang w:val="en-US" w:eastAsia="zh-CN"/>
        </w:rPr>
        <w:t>2026</w:t>
      </w:r>
      <w:r>
        <w:rPr>
          <w:rFonts w:hint="eastAsia" w:ascii="仿宋" w:hAnsi="仿宋" w:eastAsia="仿宋"/>
          <w:sz w:val="32"/>
          <w:szCs w:val="32"/>
        </w:rPr>
        <w:t>年，</w:t>
      </w:r>
      <w:r>
        <w:rPr>
          <w:rFonts w:hint="eastAsia" w:ascii="仿宋" w:hAnsi="仿宋" w:eastAsia="仿宋" w:cs="仿宋_GB2312"/>
          <w:sz w:val="32"/>
          <w:szCs w:val="32"/>
          <w:lang w:eastAsia="zh-CN"/>
        </w:rPr>
        <w:t>双洋镇人民政府</w:t>
      </w:r>
      <w:r>
        <w:rPr>
          <w:rFonts w:hint="eastAsia" w:ascii="仿宋" w:hAnsi="仿宋" w:eastAsia="仿宋"/>
          <w:sz w:val="32"/>
          <w:szCs w:val="32"/>
        </w:rPr>
        <w:t>收入预算为</w:t>
      </w:r>
      <w:r>
        <w:rPr>
          <w:rFonts w:hint="eastAsia" w:ascii="仿宋" w:hAnsi="仿宋" w:eastAsia="仿宋"/>
          <w:sz w:val="32"/>
          <w:szCs w:val="32"/>
          <w:lang w:val="en-US" w:eastAsia="zh-CN"/>
        </w:rPr>
        <w:t>962.55</w:t>
      </w:r>
      <w:r>
        <w:rPr>
          <w:rFonts w:hint="eastAsia" w:ascii="仿宋" w:hAnsi="仿宋" w:eastAsia="仿宋"/>
          <w:sz w:val="32"/>
          <w:szCs w:val="32"/>
        </w:rPr>
        <w:t>万元，比上年</w:t>
      </w:r>
      <w:r>
        <w:rPr>
          <w:rFonts w:hint="eastAsia" w:ascii="仿宋" w:hAnsi="仿宋" w:eastAsia="仿宋"/>
          <w:sz w:val="32"/>
          <w:szCs w:val="32"/>
          <w:lang w:eastAsia="zh-CN"/>
        </w:rPr>
        <w:t>减少</w:t>
      </w:r>
      <w:r>
        <w:rPr>
          <w:rFonts w:hint="eastAsia" w:ascii="仿宋" w:hAnsi="仿宋" w:eastAsia="仿宋"/>
          <w:sz w:val="32"/>
          <w:szCs w:val="32"/>
          <w:lang w:val="en-US" w:eastAsia="zh-CN"/>
        </w:rPr>
        <w:t>190.82万</w:t>
      </w:r>
      <w:r>
        <w:rPr>
          <w:rFonts w:hint="eastAsia" w:ascii="仿宋" w:hAnsi="仿宋" w:eastAsia="仿宋"/>
          <w:sz w:val="32"/>
          <w:szCs w:val="32"/>
        </w:rPr>
        <w:t>元，主要原因是</w:t>
      </w:r>
      <w:r>
        <w:rPr>
          <w:rFonts w:hint="eastAsia" w:ascii="仿宋" w:hAnsi="仿宋" w:eastAsia="仿宋"/>
          <w:sz w:val="32"/>
          <w:szCs w:val="32"/>
          <w:lang w:eastAsia="zh-CN"/>
        </w:rPr>
        <w:t>行政运行</w:t>
      </w:r>
      <w:r>
        <w:rPr>
          <w:rFonts w:hint="eastAsia" w:ascii="仿宋" w:hAnsi="仿宋" w:eastAsia="仿宋" w:cs="仿宋_GB2312"/>
          <w:sz w:val="32"/>
          <w:szCs w:val="32"/>
          <w:lang w:eastAsia="zh-CN"/>
        </w:rPr>
        <w:t>项目减少</w:t>
      </w:r>
      <w:r>
        <w:rPr>
          <w:rFonts w:hint="eastAsia" w:ascii="仿宋" w:hAnsi="仿宋" w:eastAsia="仿宋" w:cs="仿宋_GB2312"/>
          <w:sz w:val="32"/>
          <w:szCs w:val="32"/>
        </w:rPr>
        <w:t>。</w:t>
      </w:r>
      <w:r>
        <w:rPr>
          <w:rFonts w:hint="eastAsia" w:ascii="仿宋" w:hAnsi="仿宋" w:eastAsia="仿宋"/>
          <w:sz w:val="32"/>
          <w:szCs w:val="32"/>
        </w:rPr>
        <w:t>其中：一般公共预算拨款收入</w:t>
      </w:r>
      <w:r>
        <w:rPr>
          <w:rFonts w:hint="eastAsia" w:ascii="仿宋" w:hAnsi="仿宋" w:eastAsia="仿宋" w:cs="仿宋_GB2312"/>
          <w:sz w:val="32"/>
          <w:szCs w:val="32"/>
          <w:lang w:val="en-US" w:eastAsia="zh-CN"/>
        </w:rPr>
        <w:t>712.55</w:t>
      </w:r>
      <w:r>
        <w:rPr>
          <w:rFonts w:hint="eastAsia" w:ascii="仿宋" w:hAnsi="仿宋" w:eastAsia="仿宋"/>
          <w:sz w:val="32"/>
          <w:szCs w:val="32"/>
        </w:rPr>
        <w:t>万元、政府性基金预算拨款收入</w:t>
      </w:r>
      <w:r>
        <w:rPr>
          <w:rFonts w:hint="eastAsia" w:ascii="仿宋" w:hAnsi="仿宋" w:eastAsia="仿宋" w:cs="仿宋_GB2312"/>
          <w:sz w:val="32"/>
          <w:szCs w:val="32"/>
          <w:lang w:val="en-US" w:eastAsia="zh-CN"/>
        </w:rPr>
        <w:t>0</w:t>
      </w:r>
      <w:r>
        <w:rPr>
          <w:rFonts w:hint="eastAsia" w:ascii="仿宋" w:hAnsi="仿宋" w:eastAsia="仿宋"/>
          <w:sz w:val="32"/>
          <w:szCs w:val="32"/>
        </w:rPr>
        <w:t>万元、国有资本经营预算拨款收入</w:t>
      </w:r>
      <w:r>
        <w:rPr>
          <w:rFonts w:hint="eastAsia" w:ascii="仿宋" w:hAnsi="仿宋" w:eastAsia="仿宋" w:cs="仿宋_GB2312"/>
          <w:sz w:val="32"/>
          <w:szCs w:val="32"/>
          <w:lang w:val="en-US" w:eastAsia="zh-CN"/>
        </w:rPr>
        <w:t>0</w:t>
      </w:r>
      <w:r>
        <w:rPr>
          <w:rFonts w:hint="eastAsia" w:ascii="仿宋" w:hAnsi="仿宋" w:eastAsia="仿宋"/>
          <w:sz w:val="32"/>
          <w:szCs w:val="32"/>
        </w:rPr>
        <w:t>万元、财政专户管理资金收入</w:t>
      </w:r>
      <w:r>
        <w:rPr>
          <w:rFonts w:hint="eastAsia" w:ascii="仿宋" w:hAnsi="仿宋" w:eastAsia="仿宋" w:cs="仿宋_GB2312"/>
          <w:sz w:val="32"/>
          <w:szCs w:val="32"/>
          <w:lang w:val="en-US" w:eastAsia="zh-CN"/>
        </w:rPr>
        <w:t>0</w:t>
      </w:r>
      <w:r>
        <w:rPr>
          <w:rFonts w:hint="eastAsia" w:ascii="仿宋" w:hAnsi="仿宋" w:eastAsia="仿宋"/>
          <w:sz w:val="32"/>
          <w:szCs w:val="32"/>
        </w:rPr>
        <w:t>万元、事业收入</w:t>
      </w:r>
      <w:r>
        <w:rPr>
          <w:rFonts w:hint="eastAsia" w:ascii="仿宋" w:hAnsi="仿宋" w:eastAsia="仿宋" w:cs="仿宋_GB2312"/>
          <w:sz w:val="32"/>
          <w:szCs w:val="32"/>
          <w:lang w:val="en-US" w:eastAsia="zh-CN"/>
        </w:rPr>
        <w:t>0</w:t>
      </w:r>
      <w:r>
        <w:rPr>
          <w:rFonts w:hint="eastAsia" w:ascii="仿宋" w:hAnsi="仿宋" w:eastAsia="仿宋"/>
          <w:sz w:val="32"/>
          <w:szCs w:val="32"/>
        </w:rPr>
        <w:t>万元、事业单位经营收入</w:t>
      </w:r>
      <w:r>
        <w:rPr>
          <w:rFonts w:hint="eastAsia" w:ascii="仿宋" w:hAnsi="仿宋" w:eastAsia="仿宋" w:cs="仿宋_GB2312"/>
          <w:sz w:val="32"/>
          <w:szCs w:val="32"/>
          <w:lang w:val="en-US" w:eastAsia="zh-CN"/>
        </w:rPr>
        <w:t>0</w:t>
      </w:r>
      <w:r>
        <w:rPr>
          <w:rFonts w:hint="eastAsia" w:ascii="仿宋" w:hAnsi="仿宋" w:eastAsia="仿宋"/>
          <w:sz w:val="32"/>
          <w:szCs w:val="32"/>
        </w:rPr>
        <w:t>万元、上级补助收入</w:t>
      </w:r>
      <w:r>
        <w:rPr>
          <w:rFonts w:hint="eastAsia" w:ascii="仿宋" w:hAnsi="仿宋" w:eastAsia="仿宋" w:cs="仿宋_GB2312"/>
          <w:sz w:val="32"/>
          <w:szCs w:val="32"/>
          <w:lang w:val="en-US" w:eastAsia="zh-CN"/>
        </w:rPr>
        <w:t>0</w:t>
      </w:r>
      <w:r>
        <w:rPr>
          <w:rFonts w:hint="eastAsia" w:ascii="仿宋" w:hAnsi="仿宋" w:eastAsia="仿宋"/>
          <w:sz w:val="32"/>
          <w:szCs w:val="32"/>
        </w:rPr>
        <w:t>万元、附属单位上缴收入</w:t>
      </w:r>
      <w:r>
        <w:rPr>
          <w:rFonts w:hint="eastAsia" w:ascii="仿宋" w:hAnsi="仿宋" w:eastAsia="仿宋" w:cs="仿宋_GB2312"/>
          <w:sz w:val="32"/>
          <w:szCs w:val="32"/>
          <w:lang w:val="en-US" w:eastAsia="zh-CN"/>
        </w:rPr>
        <w:t>0</w:t>
      </w:r>
      <w:r>
        <w:rPr>
          <w:rFonts w:hint="eastAsia" w:ascii="仿宋" w:hAnsi="仿宋" w:eastAsia="仿宋"/>
          <w:sz w:val="32"/>
          <w:szCs w:val="32"/>
        </w:rPr>
        <w:t>万元、其他收入</w:t>
      </w:r>
      <w:r>
        <w:rPr>
          <w:rFonts w:hint="eastAsia" w:ascii="仿宋" w:hAnsi="仿宋" w:eastAsia="仿宋" w:cs="仿宋_GB2312"/>
          <w:sz w:val="32"/>
          <w:szCs w:val="32"/>
          <w:lang w:val="en-US" w:eastAsia="zh-CN"/>
        </w:rPr>
        <w:t>250</w:t>
      </w:r>
      <w:r>
        <w:rPr>
          <w:rFonts w:hint="eastAsia" w:ascii="仿宋" w:hAnsi="仿宋" w:eastAsia="仿宋"/>
          <w:sz w:val="32"/>
          <w:szCs w:val="32"/>
        </w:rPr>
        <w:t>万元、上年结转结余</w:t>
      </w:r>
      <w:r>
        <w:rPr>
          <w:rFonts w:hint="eastAsia" w:ascii="仿宋" w:hAnsi="仿宋" w:eastAsia="仿宋" w:cs="仿宋_GB2312"/>
          <w:sz w:val="32"/>
          <w:szCs w:val="32"/>
          <w:lang w:val="en-US" w:eastAsia="zh-CN"/>
        </w:rPr>
        <w:t>0</w:t>
      </w:r>
      <w:r>
        <w:rPr>
          <w:rFonts w:hint="eastAsia" w:ascii="仿宋" w:hAnsi="仿宋" w:eastAsia="仿宋"/>
          <w:sz w:val="32"/>
          <w:szCs w:val="32"/>
        </w:rPr>
        <w:t>万元。</w:t>
      </w:r>
    </w:p>
    <w:p w14:paraId="0B91FBC8">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sz w:val="32"/>
          <w:szCs w:val="32"/>
          <w:lang w:val="en-US" w:eastAsia="zh-CN"/>
        </w:rPr>
        <w:t>962.55</w:t>
      </w:r>
      <w:r>
        <w:rPr>
          <w:rFonts w:hint="eastAsia" w:ascii="仿宋" w:hAnsi="仿宋" w:eastAsia="仿宋"/>
          <w:sz w:val="32"/>
          <w:szCs w:val="32"/>
        </w:rPr>
        <w:t>万元，比上年</w:t>
      </w:r>
      <w:r>
        <w:rPr>
          <w:rFonts w:hint="eastAsia" w:ascii="仿宋" w:hAnsi="仿宋" w:eastAsia="仿宋"/>
          <w:sz w:val="32"/>
          <w:szCs w:val="32"/>
          <w:lang w:eastAsia="zh-CN"/>
        </w:rPr>
        <w:t>减少</w:t>
      </w:r>
      <w:r>
        <w:rPr>
          <w:rFonts w:hint="eastAsia" w:ascii="仿宋" w:hAnsi="仿宋" w:eastAsia="仿宋"/>
          <w:sz w:val="32"/>
          <w:szCs w:val="32"/>
          <w:lang w:val="en-US" w:eastAsia="zh-CN"/>
        </w:rPr>
        <w:t>190.82万</w:t>
      </w:r>
      <w:r>
        <w:rPr>
          <w:rFonts w:hint="eastAsia" w:ascii="仿宋" w:hAnsi="仿宋" w:eastAsia="仿宋"/>
          <w:sz w:val="32"/>
          <w:szCs w:val="32"/>
        </w:rPr>
        <w:t>元，主要原因是</w:t>
      </w:r>
      <w:r>
        <w:rPr>
          <w:rFonts w:hint="eastAsia" w:ascii="仿宋" w:hAnsi="仿宋" w:eastAsia="仿宋"/>
          <w:sz w:val="32"/>
          <w:szCs w:val="32"/>
          <w:lang w:eastAsia="zh-CN"/>
        </w:rPr>
        <w:t>行政运行</w:t>
      </w:r>
      <w:r>
        <w:rPr>
          <w:rFonts w:hint="eastAsia" w:ascii="仿宋" w:hAnsi="仿宋" w:eastAsia="仿宋" w:cs="仿宋_GB2312"/>
          <w:sz w:val="32"/>
          <w:szCs w:val="32"/>
          <w:lang w:eastAsia="zh-CN"/>
        </w:rPr>
        <w:t>项目减少</w:t>
      </w:r>
      <w:r>
        <w:rPr>
          <w:rFonts w:hint="eastAsia" w:ascii="仿宋" w:hAnsi="仿宋" w:eastAsia="仿宋" w:cs="仿宋_GB2312"/>
          <w:sz w:val="32"/>
          <w:szCs w:val="32"/>
        </w:rPr>
        <w:t>。</w:t>
      </w:r>
      <w:r>
        <w:rPr>
          <w:rFonts w:hint="eastAsia" w:ascii="仿宋" w:hAnsi="仿宋" w:eastAsia="仿宋"/>
          <w:sz w:val="32"/>
          <w:szCs w:val="32"/>
        </w:rPr>
        <w:t>其中：基本支出</w:t>
      </w:r>
      <w:r>
        <w:rPr>
          <w:rFonts w:hint="eastAsia" w:ascii="仿宋" w:hAnsi="仿宋" w:eastAsia="仿宋" w:cs="仿宋_GB2312"/>
          <w:sz w:val="32"/>
          <w:szCs w:val="32"/>
          <w:lang w:val="en-US" w:eastAsia="zh-CN"/>
        </w:rPr>
        <w:t>712.55</w:t>
      </w:r>
      <w:r>
        <w:rPr>
          <w:rFonts w:hint="eastAsia" w:ascii="仿宋" w:hAnsi="仿宋" w:eastAsia="仿宋"/>
          <w:sz w:val="32"/>
          <w:szCs w:val="32"/>
        </w:rPr>
        <w:t>万元、项目支出</w:t>
      </w:r>
      <w:r>
        <w:rPr>
          <w:rFonts w:hint="eastAsia" w:ascii="仿宋" w:hAnsi="仿宋" w:eastAsia="仿宋" w:cs="仿宋_GB2312"/>
          <w:sz w:val="32"/>
          <w:szCs w:val="32"/>
          <w:lang w:val="en-US" w:eastAsia="zh-CN"/>
        </w:rPr>
        <w:t>250</w:t>
      </w:r>
      <w:r>
        <w:rPr>
          <w:rFonts w:hint="eastAsia" w:ascii="仿宋" w:hAnsi="仿宋" w:eastAsia="仿宋"/>
          <w:sz w:val="32"/>
          <w:szCs w:val="32"/>
        </w:rPr>
        <w:t>万元、事业单位经营支出</w:t>
      </w:r>
      <w:r>
        <w:rPr>
          <w:rFonts w:hint="eastAsia" w:ascii="仿宋" w:hAnsi="仿宋" w:eastAsia="仿宋" w:cs="仿宋_GB2312"/>
          <w:sz w:val="32"/>
          <w:szCs w:val="32"/>
          <w:lang w:val="en-US" w:eastAsia="zh-CN"/>
        </w:rPr>
        <w:t>0</w:t>
      </w:r>
      <w:r>
        <w:rPr>
          <w:rFonts w:hint="eastAsia" w:ascii="仿宋" w:hAnsi="仿宋" w:eastAsia="仿宋"/>
          <w:sz w:val="32"/>
          <w:szCs w:val="32"/>
        </w:rPr>
        <w:t>万元、上缴上级支出</w:t>
      </w:r>
      <w:r>
        <w:rPr>
          <w:rFonts w:hint="eastAsia" w:ascii="仿宋" w:hAnsi="仿宋" w:eastAsia="仿宋" w:cs="仿宋_GB2312"/>
          <w:sz w:val="32"/>
          <w:szCs w:val="32"/>
          <w:lang w:val="en-US" w:eastAsia="zh-CN"/>
        </w:rPr>
        <w:t>0</w:t>
      </w:r>
      <w:r>
        <w:rPr>
          <w:rFonts w:hint="eastAsia" w:ascii="仿宋" w:hAnsi="仿宋" w:eastAsia="仿宋"/>
          <w:sz w:val="32"/>
          <w:szCs w:val="32"/>
        </w:rPr>
        <w:t>万元、对附属单位补助支出</w:t>
      </w:r>
      <w:r>
        <w:rPr>
          <w:rFonts w:hint="eastAsia" w:ascii="仿宋" w:hAnsi="仿宋" w:eastAsia="仿宋" w:cs="仿宋_GB2312"/>
          <w:sz w:val="32"/>
          <w:szCs w:val="32"/>
          <w:lang w:val="en-US" w:eastAsia="zh-CN"/>
        </w:rPr>
        <w:t>0</w:t>
      </w:r>
      <w:r>
        <w:rPr>
          <w:rFonts w:hint="eastAsia" w:ascii="仿宋" w:hAnsi="仿宋" w:eastAsia="仿宋"/>
          <w:sz w:val="32"/>
          <w:szCs w:val="32"/>
        </w:rPr>
        <w:t>万元。</w:t>
      </w:r>
    </w:p>
    <w:p w14:paraId="0973D9DB">
      <w:pPr>
        <w:tabs>
          <w:tab w:val="left" w:pos="7513"/>
        </w:tabs>
        <w:adjustRightInd w:val="0"/>
        <w:snapToGrid w:val="0"/>
        <w:spacing w:line="600" w:lineRule="exact"/>
        <w:ind w:firstLine="640" w:firstLineChars="200"/>
        <w:rPr>
          <w:rFonts w:ascii="楷体" w:hAnsi="楷体" w:eastAsia="楷体" w:cs="仿宋_GB2312"/>
          <w:sz w:val="32"/>
          <w:szCs w:val="32"/>
        </w:rPr>
      </w:pPr>
    </w:p>
    <w:p w14:paraId="179CE950">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二、一般公共预算拨款支出情况</w:t>
      </w:r>
    </w:p>
    <w:p w14:paraId="5DFE09BA">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lang w:val="en-US" w:eastAsia="zh-CN"/>
        </w:rPr>
        <w:t>2026</w:t>
      </w:r>
      <w:r>
        <w:rPr>
          <w:rFonts w:hint="eastAsia" w:ascii="仿宋" w:hAnsi="仿宋" w:eastAsia="仿宋" w:cs="仿宋_GB2312"/>
          <w:sz w:val="32"/>
          <w:szCs w:val="32"/>
        </w:rPr>
        <w:t>年度一般公共预算拨款支出</w:t>
      </w:r>
      <w:r>
        <w:rPr>
          <w:rFonts w:hint="eastAsia" w:ascii="仿宋" w:hAnsi="仿宋" w:eastAsia="仿宋"/>
          <w:sz w:val="32"/>
          <w:szCs w:val="32"/>
          <w:lang w:val="en-US" w:eastAsia="zh-CN"/>
        </w:rPr>
        <w:t>962.55</w:t>
      </w:r>
      <w:r>
        <w:rPr>
          <w:rFonts w:hint="eastAsia" w:ascii="仿宋" w:hAnsi="仿宋" w:eastAsia="仿宋" w:cs="仿宋_GB2312"/>
          <w:sz w:val="32"/>
          <w:szCs w:val="32"/>
        </w:rPr>
        <w:t>万元</w:t>
      </w:r>
      <w:r>
        <w:rPr>
          <w:rFonts w:hint="eastAsia" w:ascii="仿宋" w:hAnsi="仿宋" w:eastAsia="仿宋"/>
          <w:sz w:val="32"/>
          <w:szCs w:val="32"/>
        </w:rPr>
        <w:t>，比上年</w:t>
      </w:r>
      <w:r>
        <w:rPr>
          <w:rFonts w:hint="eastAsia" w:ascii="仿宋" w:hAnsi="仿宋" w:eastAsia="仿宋"/>
          <w:sz w:val="32"/>
          <w:szCs w:val="32"/>
          <w:lang w:eastAsia="zh-CN"/>
        </w:rPr>
        <w:t>减少</w:t>
      </w:r>
      <w:r>
        <w:rPr>
          <w:rFonts w:hint="eastAsia" w:ascii="仿宋" w:hAnsi="仿宋" w:eastAsia="仿宋"/>
          <w:sz w:val="32"/>
          <w:szCs w:val="32"/>
          <w:lang w:val="en-US" w:eastAsia="zh-CN"/>
        </w:rPr>
        <w:t>190.82</w:t>
      </w:r>
      <w:r>
        <w:rPr>
          <w:rFonts w:hint="eastAsia" w:ascii="仿宋" w:hAnsi="仿宋" w:eastAsia="仿宋" w:cs="仿宋_GB2312"/>
          <w:kern w:val="0"/>
          <w:sz w:val="32"/>
          <w:szCs w:val="32"/>
        </w:rPr>
        <w:t>万元，</w:t>
      </w:r>
      <w:r>
        <w:rPr>
          <w:rFonts w:hint="eastAsia" w:ascii="仿宋" w:hAnsi="仿宋" w:eastAsia="仿宋" w:cs="仿宋_GB2312"/>
          <w:sz w:val="32"/>
          <w:szCs w:val="32"/>
          <w:lang w:eastAsia="zh-CN"/>
        </w:rPr>
        <w:t>减少</w:t>
      </w:r>
      <w:r>
        <w:rPr>
          <w:rFonts w:hint="eastAsia" w:ascii="仿宋" w:hAnsi="仿宋" w:eastAsia="仿宋" w:cs="仿宋_GB2312"/>
          <w:sz w:val="32"/>
          <w:szCs w:val="32"/>
          <w:lang w:val="en-US" w:eastAsia="zh-CN"/>
        </w:rPr>
        <w:t>16.54</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sz w:val="32"/>
          <w:szCs w:val="32"/>
          <w:lang w:eastAsia="zh-CN"/>
        </w:rPr>
        <w:t>行政运行</w:t>
      </w:r>
      <w:r>
        <w:rPr>
          <w:rFonts w:hint="eastAsia" w:ascii="仿宋" w:hAnsi="仿宋" w:eastAsia="仿宋" w:cs="仿宋_GB2312"/>
          <w:sz w:val="32"/>
          <w:szCs w:val="32"/>
          <w:lang w:eastAsia="zh-CN"/>
        </w:rPr>
        <w:t>项目减少</w:t>
      </w:r>
      <w:r>
        <w:rPr>
          <w:rFonts w:hint="eastAsia" w:ascii="仿宋" w:hAnsi="仿宋" w:eastAsia="仿宋" w:cs="仿宋_GB2312"/>
          <w:sz w:val="32"/>
          <w:szCs w:val="32"/>
        </w:rPr>
        <w:t>。按照党中央、国务院和省委、省政府关于过紧日子的有关要求，厉行节约办一切事业，大力压减一般性支出，重点压减了公用经费和培训等项目支出中涉及的非急需非刚性支出，同时合理保障了</w:t>
      </w:r>
      <w:r>
        <w:rPr>
          <w:rFonts w:hint="eastAsia" w:ascii="仿宋" w:hAnsi="仿宋" w:eastAsia="仿宋" w:cs="仿宋_GB2312"/>
          <w:sz w:val="32"/>
          <w:szCs w:val="32"/>
          <w:lang w:eastAsia="zh-CN"/>
        </w:rPr>
        <w:t>人员经费和农林水支出</w:t>
      </w:r>
      <w:r>
        <w:rPr>
          <w:rFonts w:hint="eastAsia" w:ascii="仿宋" w:hAnsi="仿宋" w:eastAsia="仿宋" w:cs="仿宋_GB2312"/>
          <w:sz w:val="32"/>
          <w:szCs w:val="32"/>
        </w:rPr>
        <w:t>等工作的支出需求，体现在有关支出科目中。</w:t>
      </w:r>
      <w:r>
        <w:rPr>
          <w:rFonts w:hint="eastAsia" w:ascii="仿宋" w:hAnsi="仿宋" w:eastAsia="仿宋" w:cs="宋体"/>
          <w:bCs/>
          <w:sz w:val="32"/>
          <w:szCs w:val="32"/>
        </w:rPr>
        <w:t>其中（按项级科目分类统计）</w:t>
      </w:r>
      <w:r>
        <w:rPr>
          <w:rFonts w:hint="eastAsia" w:ascii="仿宋" w:hAnsi="仿宋" w:eastAsia="仿宋" w:cs="仿宋_GB2312"/>
          <w:sz w:val="32"/>
          <w:szCs w:val="32"/>
        </w:rPr>
        <w:t>：</w:t>
      </w:r>
    </w:p>
    <w:p w14:paraId="17BCFB27">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（一）</w:t>
      </w:r>
      <w:r>
        <w:rPr>
          <w:rFonts w:hint="eastAsia" w:ascii="仿宋" w:hAnsi="仿宋" w:eastAsia="仿宋" w:cs="仿宋_GB2312"/>
          <w:sz w:val="32"/>
          <w:szCs w:val="32"/>
          <w:lang w:val="en-US" w:eastAsia="zh-CN"/>
        </w:rPr>
        <w:t>2010301</w:t>
      </w:r>
      <w:r>
        <w:rPr>
          <w:rFonts w:hint="eastAsia" w:ascii="仿宋" w:hAnsi="仿宋" w:eastAsia="仿宋" w:cs="仿宋_GB2312"/>
          <w:sz w:val="32"/>
          <w:szCs w:val="32"/>
        </w:rPr>
        <w:t>-行政运行</w:t>
      </w:r>
      <w:r>
        <w:rPr>
          <w:rFonts w:hint="eastAsia" w:ascii="仿宋" w:hAnsi="仿宋" w:eastAsia="仿宋" w:cs="仿宋_GB2312"/>
          <w:b w:val="0"/>
          <w:bCs w:val="0"/>
          <w:kern w:val="2"/>
          <w:sz w:val="32"/>
          <w:szCs w:val="32"/>
          <w:lang w:val="en-US" w:eastAsia="zh-CN" w:bidi="ar-SA"/>
        </w:rPr>
        <w:t>538.37</w:t>
      </w:r>
      <w:r>
        <w:rPr>
          <w:rFonts w:hint="eastAsia" w:ascii="仿宋" w:hAnsi="仿宋" w:eastAsia="仿宋" w:cs="仿宋_GB2312"/>
          <w:sz w:val="32"/>
          <w:szCs w:val="32"/>
        </w:rPr>
        <w:t>万元。主要用于工资福利</w:t>
      </w:r>
      <w:r>
        <w:rPr>
          <w:rFonts w:hint="eastAsia" w:ascii="仿宋" w:hAnsi="仿宋" w:eastAsia="仿宋" w:cs="仿宋_GB2312"/>
          <w:sz w:val="32"/>
          <w:szCs w:val="32"/>
          <w:lang w:eastAsia="zh-CN"/>
        </w:rPr>
        <w:t>等人员经费</w:t>
      </w:r>
      <w:r>
        <w:rPr>
          <w:rFonts w:hint="eastAsia" w:ascii="仿宋" w:hAnsi="仿宋" w:eastAsia="仿宋" w:cs="仿宋_GB2312"/>
          <w:sz w:val="32"/>
          <w:szCs w:val="32"/>
        </w:rPr>
        <w:t>支出。</w:t>
      </w:r>
    </w:p>
    <w:p w14:paraId="46B3E218">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（二）2130104-事业运行</w:t>
      </w:r>
      <w:r>
        <w:rPr>
          <w:rFonts w:hint="eastAsia" w:ascii="仿宋" w:hAnsi="仿宋" w:eastAsia="仿宋" w:cs="仿宋_GB2312"/>
          <w:b w:val="0"/>
          <w:bCs w:val="0"/>
          <w:kern w:val="2"/>
          <w:sz w:val="32"/>
          <w:szCs w:val="32"/>
          <w:lang w:val="en-US" w:eastAsia="zh-CN" w:bidi="ar-SA"/>
        </w:rPr>
        <w:t>385.03</w:t>
      </w:r>
      <w:r>
        <w:rPr>
          <w:rFonts w:hint="eastAsia" w:ascii="仿宋" w:hAnsi="仿宋" w:eastAsia="仿宋" w:cs="仿宋_GB2312"/>
          <w:sz w:val="32"/>
          <w:szCs w:val="32"/>
        </w:rPr>
        <w:t>万元。主要用于</w:t>
      </w:r>
      <w:r>
        <w:rPr>
          <w:rFonts w:hint="eastAsia" w:ascii="仿宋" w:hAnsi="仿宋" w:eastAsia="仿宋" w:cs="仿宋"/>
          <w:b w:val="0"/>
          <w:bCs w:val="0"/>
          <w:sz w:val="32"/>
          <w:szCs w:val="32"/>
          <w:lang w:eastAsia="zh-CN"/>
        </w:rPr>
        <w:t>双洋镇人民政府</w:t>
      </w:r>
      <w:r>
        <w:rPr>
          <w:rFonts w:hint="eastAsia" w:ascii="仿宋" w:hAnsi="仿宋" w:eastAsia="仿宋" w:cs="仿宋"/>
          <w:b w:val="0"/>
          <w:bCs w:val="0"/>
          <w:sz w:val="32"/>
          <w:szCs w:val="32"/>
          <w:lang w:val="en-US" w:eastAsia="zh-CN"/>
        </w:rPr>
        <w:t>事业</w:t>
      </w:r>
      <w:r>
        <w:rPr>
          <w:rFonts w:hint="eastAsia" w:ascii="仿宋" w:hAnsi="仿宋" w:eastAsia="仿宋" w:cs="仿宋_GB2312"/>
          <w:sz w:val="32"/>
          <w:szCs w:val="32"/>
        </w:rPr>
        <w:t>支出。</w:t>
      </w:r>
    </w:p>
    <w:p w14:paraId="56939D03">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（三）213-</w:t>
      </w:r>
      <w:r>
        <w:rPr>
          <w:rFonts w:hint="eastAsia" w:ascii="仿宋" w:hAnsi="仿宋" w:eastAsia="仿宋" w:cs="仿宋_GB2312"/>
          <w:sz w:val="32"/>
          <w:szCs w:val="32"/>
          <w:lang w:eastAsia="zh-CN"/>
        </w:rPr>
        <w:t>农林水支出</w:t>
      </w:r>
      <w:r>
        <w:rPr>
          <w:rFonts w:hint="eastAsia" w:ascii="仿宋" w:hAnsi="仿宋" w:eastAsia="仿宋" w:cs="仿宋_GB2312"/>
          <w:b w:val="0"/>
          <w:bCs w:val="0"/>
          <w:kern w:val="2"/>
          <w:sz w:val="32"/>
          <w:szCs w:val="32"/>
          <w:lang w:val="en-US" w:eastAsia="zh-CN" w:bidi="ar-SA"/>
        </w:rPr>
        <w:t>385.03</w:t>
      </w:r>
      <w:r>
        <w:rPr>
          <w:rFonts w:hint="eastAsia" w:ascii="仿宋" w:hAnsi="仿宋" w:eastAsia="仿宋" w:cs="仿宋_GB2312"/>
          <w:sz w:val="32"/>
          <w:szCs w:val="32"/>
        </w:rPr>
        <w:t>万元。主要用于农林水支出支出。</w:t>
      </w:r>
    </w:p>
    <w:p w14:paraId="2106D28A">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b w:val="0"/>
          <w:bCs w:val="0"/>
          <w:kern w:val="2"/>
          <w:sz w:val="32"/>
          <w:szCs w:val="32"/>
          <w:lang w:val="en-US" w:eastAsia="zh-CN" w:bidi="ar-SA"/>
        </w:rPr>
        <w:t>（四）2210201-住房公积金39.15</w:t>
      </w:r>
      <w:r>
        <w:rPr>
          <w:rFonts w:hint="eastAsia" w:ascii="仿宋" w:hAnsi="仿宋" w:eastAsia="仿宋" w:cs="仿宋_GB2312"/>
          <w:sz w:val="32"/>
          <w:szCs w:val="32"/>
        </w:rPr>
        <w:t>万元。主要用于</w:t>
      </w:r>
      <w:r>
        <w:rPr>
          <w:rFonts w:hint="eastAsia" w:ascii="仿宋" w:hAnsi="仿宋" w:eastAsia="仿宋" w:cs="仿宋_GB2312"/>
          <w:sz w:val="32"/>
          <w:szCs w:val="32"/>
          <w:lang w:eastAsia="zh-CN"/>
        </w:rPr>
        <w:t>单位职工住房公积金</w:t>
      </w:r>
      <w:r>
        <w:rPr>
          <w:rFonts w:hint="eastAsia" w:ascii="仿宋" w:hAnsi="仿宋" w:eastAsia="仿宋" w:cs="仿宋_GB2312"/>
          <w:sz w:val="32"/>
          <w:szCs w:val="32"/>
        </w:rPr>
        <w:t>支出。</w:t>
      </w:r>
    </w:p>
    <w:p w14:paraId="402651C8">
      <w:pPr>
        <w:tabs>
          <w:tab w:val="left" w:pos="7513"/>
        </w:tabs>
        <w:adjustRightInd w:val="0"/>
        <w:snapToGrid w:val="0"/>
        <w:spacing w:line="600" w:lineRule="exact"/>
        <w:rPr>
          <w:rFonts w:hint="eastAsia" w:ascii="黑体" w:hAnsi="黑体" w:eastAsia="黑体"/>
          <w:sz w:val="32"/>
          <w:szCs w:val="32"/>
        </w:rPr>
      </w:pPr>
    </w:p>
    <w:p w14:paraId="5AA51187">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三、政府性基金预算拨款支出情况</w:t>
      </w:r>
    </w:p>
    <w:p w14:paraId="274C7BE8">
      <w:pPr>
        <w:tabs>
          <w:tab w:val="left" w:pos="7513"/>
        </w:tabs>
        <w:adjustRightInd w:val="0"/>
        <w:snapToGrid w:val="0"/>
        <w:spacing w:line="600" w:lineRule="exact"/>
        <w:ind w:firstLine="640" w:firstLineChars="200"/>
        <w:rPr>
          <w:rFonts w:ascii="楷体" w:hAnsi="楷体" w:eastAsia="楷体"/>
          <w:sz w:val="32"/>
          <w:szCs w:val="32"/>
        </w:rPr>
      </w:pPr>
      <w:r>
        <w:rPr>
          <w:rFonts w:hint="eastAsia" w:ascii="楷体" w:hAnsi="楷体" w:eastAsia="楷体" w:cs="仿宋_GB2312"/>
          <w:sz w:val="32"/>
          <w:szCs w:val="32"/>
        </w:rPr>
        <w:t>本部门</w:t>
      </w:r>
      <w:r>
        <w:rPr>
          <w:rFonts w:hint="eastAsia" w:ascii="楷体" w:hAnsi="楷体" w:eastAsia="楷体" w:cs="仿宋_GB2312"/>
          <w:sz w:val="32"/>
          <w:szCs w:val="32"/>
          <w:lang w:val="en-US" w:eastAsia="zh-CN"/>
        </w:rPr>
        <w:t>2026</w:t>
      </w:r>
      <w:r>
        <w:rPr>
          <w:rFonts w:hint="eastAsia" w:ascii="楷体" w:hAnsi="楷体" w:eastAsia="楷体" w:cs="仿宋_GB2312"/>
          <w:sz w:val="32"/>
          <w:szCs w:val="32"/>
        </w:rPr>
        <w:t>年度没有使用政府性基金预算拨款安排的支出。</w:t>
      </w:r>
    </w:p>
    <w:p w14:paraId="574F0D39">
      <w:pPr>
        <w:tabs>
          <w:tab w:val="left" w:pos="7513"/>
        </w:tabs>
        <w:adjustRightInd w:val="0"/>
        <w:snapToGrid w:val="0"/>
        <w:spacing w:line="600" w:lineRule="exact"/>
        <w:rPr>
          <w:rFonts w:ascii="黑体" w:hAnsi="黑体" w:eastAsia="黑体" w:cs="仿宋_GB2312"/>
          <w:bCs/>
          <w:sz w:val="32"/>
          <w:szCs w:val="32"/>
        </w:rPr>
      </w:pPr>
      <w:r>
        <w:rPr>
          <w:rFonts w:hint="eastAsia" w:ascii="黑体" w:hAnsi="黑体" w:eastAsia="黑体" w:cs="仿宋_GB2312"/>
          <w:bCs/>
          <w:sz w:val="32"/>
          <w:szCs w:val="32"/>
        </w:rPr>
        <w:t>四、国有资本经营预算拨款支出情况</w:t>
      </w:r>
    </w:p>
    <w:p w14:paraId="75D5C681">
      <w:pPr>
        <w:tabs>
          <w:tab w:val="left" w:pos="7513"/>
        </w:tabs>
        <w:adjustRightInd w:val="0"/>
        <w:snapToGrid w:val="0"/>
        <w:spacing w:line="600" w:lineRule="exact"/>
        <w:ind w:firstLine="640" w:firstLineChars="200"/>
        <w:rPr>
          <w:rFonts w:ascii="楷体" w:hAnsi="楷体" w:eastAsia="楷体" w:cs="仿宋_GB2312"/>
          <w:sz w:val="32"/>
          <w:szCs w:val="32"/>
        </w:rPr>
      </w:pPr>
      <w:r>
        <w:rPr>
          <w:rFonts w:hint="eastAsia" w:ascii="楷体" w:hAnsi="楷体" w:eastAsia="楷体" w:cs="仿宋_GB2312"/>
          <w:sz w:val="32"/>
          <w:szCs w:val="32"/>
        </w:rPr>
        <w:t>本部门</w:t>
      </w:r>
      <w:r>
        <w:rPr>
          <w:rFonts w:hint="eastAsia" w:ascii="楷体" w:hAnsi="楷体" w:eastAsia="楷体" w:cs="仿宋_GB2312"/>
          <w:sz w:val="32"/>
          <w:szCs w:val="32"/>
          <w:lang w:val="en-US" w:eastAsia="zh-CN"/>
        </w:rPr>
        <w:t>2026</w:t>
      </w:r>
      <w:r>
        <w:rPr>
          <w:rFonts w:hint="eastAsia" w:ascii="楷体" w:hAnsi="楷体" w:eastAsia="楷体" w:cs="仿宋_GB2312"/>
          <w:sz w:val="32"/>
          <w:szCs w:val="32"/>
        </w:rPr>
        <w:t>年度没有使用国有资本经营预算拨款安排的支出。</w:t>
      </w:r>
    </w:p>
    <w:p w14:paraId="0DB0BBCF">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五、一般公共预算拨款基本支出情况</w:t>
      </w:r>
    </w:p>
    <w:p w14:paraId="73D544CB">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lang w:val="en-US" w:eastAsia="zh-CN"/>
        </w:rPr>
        <w:t>2026</w:t>
      </w:r>
      <w:r>
        <w:rPr>
          <w:rFonts w:hint="eastAsia" w:ascii="仿宋" w:hAnsi="仿宋" w:eastAsia="仿宋" w:cs="仿宋_GB2312"/>
          <w:sz w:val="32"/>
          <w:szCs w:val="32"/>
        </w:rPr>
        <w:t>年度一般公共预算拨款基本支出</w:t>
      </w:r>
      <w:r>
        <w:rPr>
          <w:rFonts w:hint="eastAsia" w:ascii="仿宋" w:hAnsi="仿宋" w:eastAsia="仿宋" w:cs="仿宋_GB2312"/>
          <w:sz w:val="32"/>
          <w:szCs w:val="32"/>
          <w:lang w:val="en-US" w:eastAsia="zh-CN"/>
        </w:rPr>
        <w:t>712.55</w:t>
      </w:r>
      <w:r>
        <w:rPr>
          <w:rFonts w:hint="eastAsia" w:ascii="仿宋" w:hAnsi="仿宋" w:eastAsia="仿宋" w:cs="仿宋_GB2312"/>
          <w:sz w:val="32"/>
          <w:szCs w:val="32"/>
        </w:rPr>
        <w:t>万元，其中：</w:t>
      </w:r>
    </w:p>
    <w:p w14:paraId="5FCAE22E">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w:t>
      </w:r>
      <w:r>
        <w:rPr>
          <w:rFonts w:hint="eastAsia" w:ascii="仿宋" w:hAnsi="仿宋" w:eastAsia="仿宋" w:cs="仿宋_GB2312"/>
          <w:sz w:val="32"/>
          <w:szCs w:val="32"/>
          <w:lang w:val="en-US" w:eastAsia="zh-CN"/>
        </w:rPr>
        <w:t>688.76</w:t>
      </w:r>
      <w:r>
        <w:rPr>
          <w:rFonts w:hint="eastAsia" w:ascii="仿宋" w:hAnsi="仿宋" w:eastAsia="仿宋" w:cs="仿宋_GB2312"/>
          <w:sz w:val="32"/>
          <w:szCs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72079644">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w:t>
      </w:r>
      <w:r>
        <w:rPr>
          <w:rFonts w:hint="eastAsia" w:ascii="仿宋" w:hAnsi="仿宋" w:eastAsia="仿宋" w:cs="仿宋_GB2312"/>
          <w:sz w:val="32"/>
          <w:szCs w:val="32"/>
          <w:lang w:val="en-US" w:eastAsia="zh-CN"/>
        </w:rPr>
        <w:t>23.79</w:t>
      </w:r>
      <w:r>
        <w:rPr>
          <w:rFonts w:hint="eastAsia" w:ascii="仿宋" w:hAnsi="仿宋" w:eastAsia="仿宋" w:cs="仿宋_GB2312"/>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515B46C9">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六、一般公共预算“三公”经费支出情况</w:t>
      </w:r>
    </w:p>
    <w:p w14:paraId="7D34475B">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3265467F">
      <w:pPr>
        <w:widowControl/>
        <w:adjustRightInd w:val="0"/>
        <w:snapToGrid w:val="0"/>
        <w:spacing w:line="600" w:lineRule="exact"/>
        <w:ind w:firstLine="660"/>
        <w:rPr>
          <w:rFonts w:ascii="楷体" w:hAnsi="楷体" w:eastAsia="楷体" w:cs="仿宋_GB2312"/>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w:t>
      </w:r>
      <w:r>
        <w:rPr>
          <w:rFonts w:hint="eastAsia" w:ascii="仿宋" w:hAnsi="仿宋" w:eastAsia="仿宋" w:cs="宋体"/>
          <w:kern w:val="0"/>
          <w:sz w:val="32"/>
          <w:szCs w:val="32"/>
          <w:lang w:eastAsia="zh-CN"/>
        </w:rPr>
        <w:t>无增长，</w:t>
      </w:r>
      <w:r>
        <w:rPr>
          <w:rFonts w:hint="eastAsia" w:ascii="仿宋" w:hAnsi="仿宋" w:eastAsia="仿宋" w:cs="仿宋_GB2312"/>
          <w:sz w:val="32"/>
          <w:szCs w:val="32"/>
        </w:rPr>
        <w:t>与上年持平</w:t>
      </w:r>
      <w:r>
        <w:rPr>
          <w:rFonts w:hint="eastAsia" w:ascii="仿宋" w:hAnsi="仿宋" w:eastAsia="仿宋" w:cs="仿宋_GB2312"/>
          <w:sz w:val="32"/>
          <w:szCs w:val="32"/>
          <w:lang w:eastAsia="zh-CN"/>
        </w:rPr>
        <w:t>。</w:t>
      </w:r>
    </w:p>
    <w:p w14:paraId="7F7035B5">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1F5014D4">
      <w:pPr>
        <w:widowControl/>
        <w:adjustRightInd w:val="0"/>
        <w:snapToGrid w:val="0"/>
        <w:spacing w:line="600" w:lineRule="exact"/>
        <w:ind w:firstLine="660"/>
        <w:rPr>
          <w:rFonts w:hint="eastAsia" w:ascii="仿宋" w:hAnsi="仿宋" w:eastAsia="仿宋" w:cs="仿宋_GB2312"/>
          <w:sz w:val="32"/>
          <w:szCs w:val="32"/>
          <w:lang w:eastAsia="zh-CN"/>
        </w:rPr>
      </w:pPr>
      <w:r>
        <w:rPr>
          <w:rFonts w:hint="eastAsia" w:ascii="仿宋" w:hAnsi="仿宋" w:eastAsia="仿宋" w:cs="仿宋_GB2312"/>
          <w:kern w:val="0"/>
          <w:sz w:val="32"/>
          <w:szCs w:val="32"/>
          <w:lang w:val="en-US" w:eastAsia="zh-CN"/>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4.8</w:t>
      </w:r>
      <w:r>
        <w:rPr>
          <w:rFonts w:hint="eastAsia" w:ascii="仿宋" w:hAnsi="仿宋" w:eastAsia="仿宋" w:cs="宋体"/>
          <w:kern w:val="0"/>
          <w:sz w:val="32"/>
          <w:szCs w:val="32"/>
        </w:rPr>
        <w:t>万元，</w:t>
      </w:r>
      <w:r>
        <w:rPr>
          <w:rFonts w:hint="eastAsia" w:ascii="仿宋" w:hAnsi="仿宋" w:eastAsia="仿宋" w:cs="仿宋_GB2312"/>
          <w:sz w:val="32"/>
          <w:szCs w:val="32"/>
        </w:rPr>
        <w:t>比上年</w:t>
      </w:r>
      <w:r>
        <w:rPr>
          <w:rFonts w:hint="eastAsia" w:ascii="仿宋" w:hAnsi="仿宋" w:eastAsia="仿宋" w:cs="仿宋_GB2312"/>
          <w:sz w:val="32"/>
          <w:szCs w:val="32"/>
          <w:lang w:eastAsia="zh-CN"/>
        </w:rPr>
        <w:t>增加</w:t>
      </w:r>
      <w:r>
        <w:rPr>
          <w:rFonts w:hint="eastAsia" w:ascii="仿宋" w:hAnsi="仿宋" w:eastAsia="仿宋" w:cs="仿宋_GB2312"/>
          <w:sz w:val="32"/>
          <w:szCs w:val="32"/>
          <w:lang w:val="en-US" w:eastAsia="zh-CN"/>
        </w:rPr>
        <w:t>0</w:t>
      </w:r>
      <w:r>
        <w:rPr>
          <w:rFonts w:hint="eastAsia" w:ascii="仿宋" w:hAnsi="仿宋" w:eastAsia="仿宋" w:cs="仿宋_GB2312"/>
          <w:kern w:val="0"/>
          <w:sz w:val="32"/>
          <w:szCs w:val="32"/>
        </w:rPr>
        <w:t>万元，</w:t>
      </w:r>
      <w:r>
        <w:rPr>
          <w:rFonts w:hint="eastAsia" w:ascii="仿宋" w:hAnsi="仿宋" w:eastAsia="仿宋" w:cs="仿宋_GB2312"/>
          <w:sz w:val="32"/>
          <w:szCs w:val="32"/>
        </w:rPr>
        <w:t>增长</w:t>
      </w:r>
      <w:r>
        <w:rPr>
          <w:rFonts w:hint="eastAsia" w:ascii="仿宋" w:hAnsi="仿宋" w:eastAsia="仿宋" w:cs="仿宋_GB2312"/>
          <w:sz w:val="32"/>
          <w:szCs w:val="32"/>
          <w:lang w:val="en-US" w:eastAsia="zh-CN"/>
        </w:rPr>
        <w:t>0</w:t>
      </w:r>
      <w:r>
        <w:rPr>
          <w:rFonts w:ascii="仿宋" w:hAnsi="仿宋" w:eastAsia="仿宋" w:cs="仿宋_GB2312"/>
          <w:sz w:val="32"/>
          <w:szCs w:val="32"/>
        </w:rPr>
        <w:t>%</w:t>
      </w:r>
      <w:r>
        <w:rPr>
          <w:rFonts w:hint="eastAsia" w:ascii="仿宋" w:hAnsi="仿宋" w:eastAsia="仿宋" w:cs="仿宋_GB2312"/>
          <w:sz w:val="32"/>
          <w:szCs w:val="32"/>
        </w:rPr>
        <w:t>。主要原因是:</w:t>
      </w:r>
      <w:r>
        <w:rPr>
          <w:rFonts w:hint="eastAsia" w:ascii="仿宋" w:hAnsi="仿宋" w:eastAsia="仿宋" w:cs="仿宋_GB2312"/>
          <w:sz w:val="32"/>
          <w:szCs w:val="32"/>
          <w:lang w:eastAsia="zh-CN"/>
        </w:rPr>
        <w:t>严格执行中央八项规定与厉行节约要求，落实“三公经费”零增长或负增长硬约束</w:t>
      </w:r>
      <w:r>
        <w:rPr>
          <w:rFonts w:hint="eastAsia" w:ascii="仿宋" w:hAnsi="仿宋" w:eastAsia="仿宋" w:cs="仿宋_GB2312"/>
          <w:sz w:val="32"/>
          <w:szCs w:val="32"/>
        </w:rPr>
        <w:t>。</w:t>
      </w:r>
    </w:p>
    <w:p w14:paraId="5A1377ED">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5409A89B">
      <w:pPr>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5.65</w:t>
      </w:r>
      <w:r>
        <w:rPr>
          <w:rFonts w:hint="eastAsia" w:ascii="仿宋" w:hAnsi="仿宋" w:eastAsia="仿宋" w:cs="宋体"/>
          <w:kern w:val="0"/>
          <w:sz w:val="32"/>
          <w:szCs w:val="32"/>
        </w:rPr>
        <w:t>万元，其中：公务用车运行费</w:t>
      </w:r>
      <w:r>
        <w:rPr>
          <w:rFonts w:hint="eastAsia" w:ascii="仿宋" w:hAnsi="仿宋" w:eastAsia="仿宋" w:cs="仿宋_GB2312"/>
          <w:kern w:val="0"/>
          <w:sz w:val="32"/>
          <w:szCs w:val="32"/>
          <w:lang w:val="en-US" w:eastAsia="zh-CN"/>
        </w:rPr>
        <w:t>5.65</w:t>
      </w:r>
      <w:r>
        <w:rPr>
          <w:rFonts w:hint="eastAsia" w:ascii="仿宋" w:hAnsi="仿宋" w:eastAsia="仿宋" w:cs="宋体"/>
          <w:kern w:val="0"/>
          <w:sz w:val="32"/>
          <w:szCs w:val="32"/>
        </w:rPr>
        <w:t>万元，</w:t>
      </w:r>
      <w:r>
        <w:rPr>
          <w:rFonts w:hint="eastAsia" w:ascii="仿宋" w:hAnsi="仿宋" w:eastAsia="仿宋" w:cs="仿宋_GB2312"/>
          <w:sz w:val="32"/>
          <w:szCs w:val="32"/>
        </w:rPr>
        <w:t>比上年</w:t>
      </w:r>
      <w:r>
        <w:rPr>
          <w:rFonts w:hint="eastAsia" w:ascii="仿宋" w:hAnsi="仿宋" w:eastAsia="仿宋" w:cs="仿宋_GB2312"/>
          <w:sz w:val="32"/>
          <w:szCs w:val="32"/>
          <w:lang w:eastAsia="zh-CN"/>
        </w:rPr>
        <w:t>增加</w:t>
      </w:r>
      <w:r>
        <w:rPr>
          <w:rFonts w:hint="eastAsia" w:ascii="仿宋" w:hAnsi="仿宋" w:eastAsia="仿宋" w:cs="仿宋_GB2312"/>
          <w:sz w:val="32"/>
          <w:szCs w:val="32"/>
          <w:lang w:val="en-US" w:eastAsia="zh-CN"/>
        </w:rPr>
        <w:t>0</w:t>
      </w:r>
      <w:r>
        <w:rPr>
          <w:rFonts w:hint="eastAsia" w:ascii="仿宋" w:hAnsi="仿宋" w:eastAsia="仿宋" w:cs="仿宋_GB2312"/>
          <w:kern w:val="0"/>
          <w:sz w:val="32"/>
          <w:szCs w:val="32"/>
        </w:rPr>
        <w:t>万元，</w:t>
      </w:r>
      <w:r>
        <w:rPr>
          <w:rFonts w:hint="eastAsia" w:ascii="仿宋" w:hAnsi="仿宋" w:eastAsia="仿宋" w:cs="仿宋_GB2312"/>
          <w:sz w:val="32"/>
          <w:szCs w:val="32"/>
          <w:lang w:eastAsia="zh-CN"/>
        </w:rPr>
        <w:t>增长</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w:t>
      </w:r>
      <w:r>
        <w:rPr>
          <w:rFonts w:hint="eastAsia" w:ascii="仿宋" w:hAnsi="仿宋" w:eastAsia="仿宋" w:cs="宋体"/>
          <w:kern w:val="0"/>
          <w:sz w:val="32"/>
          <w:szCs w:val="32"/>
        </w:rPr>
        <w:t>公务用车购置费</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比上年减少</w:t>
      </w:r>
      <w:r>
        <w:rPr>
          <w:rFonts w:hint="eastAsia" w:ascii="仿宋" w:hAnsi="仿宋" w:eastAsia="仿宋" w:cs="仿宋_GB2312"/>
          <w:sz w:val="32"/>
          <w:szCs w:val="32"/>
          <w:lang w:val="en-US" w:eastAsia="zh-CN"/>
        </w:rPr>
        <w:t>0</w:t>
      </w:r>
      <w:r>
        <w:rPr>
          <w:rFonts w:hint="eastAsia" w:ascii="仿宋" w:hAnsi="仿宋" w:eastAsia="仿宋" w:cs="仿宋_GB2312"/>
          <w:kern w:val="0"/>
          <w:sz w:val="32"/>
          <w:szCs w:val="32"/>
        </w:rPr>
        <w:t>万元，</w:t>
      </w:r>
      <w:r>
        <w:rPr>
          <w:rFonts w:hint="eastAsia" w:ascii="仿宋" w:hAnsi="仿宋" w:eastAsia="仿宋" w:cs="仿宋_GB2312"/>
          <w:sz w:val="32"/>
          <w:szCs w:val="32"/>
        </w:rPr>
        <w:t>降低</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%。主要原因是:</w:t>
      </w:r>
      <w:r>
        <w:rPr>
          <w:rFonts w:hint="eastAsia" w:ascii="仿宋" w:hAnsi="仿宋" w:eastAsia="仿宋" w:cs="仿宋_GB2312"/>
          <w:sz w:val="32"/>
          <w:szCs w:val="32"/>
          <w:lang w:eastAsia="zh-CN"/>
        </w:rPr>
        <w:t>严格执行中央八项规定与厉行节约要求，落实“三公经费”零增长或负增长硬约束</w:t>
      </w:r>
      <w:r>
        <w:rPr>
          <w:rFonts w:hint="eastAsia" w:ascii="仿宋" w:hAnsi="仿宋" w:eastAsia="仿宋" w:cs="仿宋_GB2312"/>
          <w:sz w:val="32"/>
          <w:szCs w:val="32"/>
        </w:rPr>
        <w:t>。</w:t>
      </w:r>
    </w:p>
    <w:p w14:paraId="771E9AF2">
      <w:pPr>
        <w:spacing w:line="600" w:lineRule="exact"/>
        <w:rPr>
          <w:rFonts w:ascii="仿宋" w:hAnsi="仿宋" w:eastAsia="仿宋" w:cs="仿宋_GB2312"/>
          <w:sz w:val="32"/>
          <w:szCs w:val="32"/>
        </w:rPr>
      </w:pPr>
      <w:r>
        <w:rPr>
          <w:rFonts w:hint="eastAsia" w:ascii="黑体" w:hAnsi="黑体" w:eastAsia="黑体"/>
          <w:sz w:val="32"/>
          <w:szCs w:val="32"/>
        </w:rPr>
        <w:t>七、预算绩效目标情况</w:t>
      </w:r>
    </w:p>
    <w:p w14:paraId="1AEEBF1E">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527519D9">
      <w:pPr>
        <w:spacing w:line="59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仿宋_GB2312"/>
          <w:kern w:val="0"/>
          <w:sz w:val="32"/>
          <w:szCs w:val="32"/>
        </w:rPr>
        <w:t>年，</w:t>
      </w:r>
      <w:r>
        <w:rPr>
          <w:rFonts w:hint="eastAsia" w:ascii="楷体" w:hAnsi="楷体" w:eastAsia="楷体" w:cs="楷体"/>
          <w:kern w:val="0"/>
          <w:sz w:val="32"/>
          <w:szCs w:val="32"/>
        </w:rPr>
        <w:t>本部门无项目支出绩效目标表。</w:t>
      </w:r>
    </w:p>
    <w:p w14:paraId="27E7471F">
      <w:pPr>
        <w:numPr>
          <w:ilvl w:val="0"/>
          <w:numId w:val="1"/>
        </w:numPr>
        <w:spacing w:line="590" w:lineRule="exact"/>
        <w:ind w:firstLine="630" w:firstLineChars="196"/>
        <w:rPr>
          <w:rFonts w:hint="eastAsia" w:ascii="楷体" w:hAnsi="楷体" w:eastAsia="楷体"/>
          <w:b/>
          <w:sz w:val="32"/>
          <w:szCs w:val="32"/>
        </w:rPr>
      </w:pPr>
      <w:r>
        <w:rPr>
          <w:rFonts w:hint="eastAsia" w:ascii="楷体" w:hAnsi="楷体" w:eastAsia="楷体"/>
          <w:b/>
          <w:sz w:val="32"/>
          <w:szCs w:val="32"/>
        </w:rPr>
        <w:t>绩效目标表及说明</w:t>
      </w:r>
    </w:p>
    <w:p w14:paraId="2A8431C3">
      <w:pPr>
        <w:spacing w:line="590" w:lineRule="exact"/>
        <w:ind w:firstLine="640" w:firstLineChars="200"/>
        <w:rPr>
          <w:rFonts w:hint="eastAsia" w:ascii="楷体" w:hAnsi="楷体" w:eastAsia="楷体"/>
          <w:b/>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仿宋_GB2312"/>
          <w:kern w:val="0"/>
          <w:sz w:val="32"/>
          <w:szCs w:val="32"/>
        </w:rPr>
        <w:t>年，</w:t>
      </w:r>
      <w:r>
        <w:rPr>
          <w:rFonts w:hint="eastAsia" w:ascii="楷体" w:hAnsi="楷体" w:eastAsia="楷体" w:cs="楷体"/>
          <w:kern w:val="0"/>
          <w:sz w:val="32"/>
          <w:szCs w:val="32"/>
        </w:rPr>
        <w:t>本部门无其他需要说明的绩效目标情况。</w:t>
      </w:r>
    </w:p>
    <w:p w14:paraId="30ECE9B8">
      <w:pPr>
        <w:spacing w:line="600" w:lineRule="exact"/>
        <w:rPr>
          <w:rFonts w:ascii="黑体" w:hAnsi="黑体" w:eastAsia="黑体"/>
          <w:sz w:val="32"/>
          <w:szCs w:val="32"/>
        </w:rPr>
      </w:pPr>
      <w:r>
        <w:rPr>
          <w:rFonts w:hint="eastAsia" w:ascii="黑体" w:hAnsi="黑体" w:eastAsia="黑体"/>
          <w:sz w:val="32"/>
          <w:szCs w:val="32"/>
        </w:rPr>
        <w:t>八、其他重要事项说明</w:t>
      </w:r>
    </w:p>
    <w:p w14:paraId="68CABEDD">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2F9DD33E">
      <w:pPr>
        <w:spacing w:line="600" w:lineRule="exact"/>
        <w:ind w:firstLine="640" w:firstLineChars="200"/>
        <w:rPr>
          <w:rFonts w:ascii="楷体" w:hAnsi="楷体" w:eastAsia="楷体"/>
          <w:sz w:val="32"/>
          <w:szCs w:val="32"/>
        </w:rPr>
      </w:pPr>
      <w:r>
        <w:rPr>
          <w:rFonts w:hint="eastAsia" w:ascii="仿宋" w:hAnsi="仿宋" w:eastAsia="仿宋" w:cs="仿宋_GB2312"/>
          <w:kern w:val="0"/>
          <w:sz w:val="32"/>
          <w:szCs w:val="32"/>
          <w:lang w:val="en-US" w:eastAsia="zh-CN"/>
        </w:rPr>
        <w:t>2026</w:t>
      </w:r>
      <w:r>
        <w:rPr>
          <w:rFonts w:hint="eastAsia" w:ascii="仿宋" w:hAnsi="仿宋" w:eastAsia="仿宋"/>
          <w:sz w:val="32"/>
          <w:szCs w:val="32"/>
        </w:rPr>
        <w:t>年，</w:t>
      </w:r>
      <w:r>
        <w:rPr>
          <w:rFonts w:hint="eastAsia" w:ascii="仿宋" w:hAnsi="仿宋" w:eastAsia="仿宋" w:cs="仿宋_GB2312"/>
          <w:kern w:val="0"/>
          <w:sz w:val="32"/>
          <w:szCs w:val="32"/>
          <w:lang w:eastAsia="zh-CN"/>
        </w:rPr>
        <w:t>双洋镇人民政府</w:t>
      </w:r>
      <w:r>
        <w:rPr>
          <w:rFonts w:hint="eastAsia" w:ascii="仿宋" w:hAnsi="仿宋" w:eastAsia="仿宋"/>
          <w:sz w:val="32"/>
          <w:szCs w:val="32"/>
        </w:rPr>
        <w:t>一般公共预算拨款安排的机关运行经费支出</w:t>
      </w:r>
      <w:r>
        <w:rPr>
          <w:rFonts w:hint="eastAsia" w:ascii="仿宋" w:hAnsi="仿宋" w:eastAsia="仿宋" w:cs="仿宋_GB2312"/>
          <w:sz w:val="32"/>
          <w:szCs w:val="32"/>
          <w:lang w:val="en-US" w:eastAsia="zh-CN"/>
        </w:rPr>
        <w:t>23.79</w:t>
      </w:r>
      <w:r>
        <w:rPr>
          <w:rFonts w:hint="eastAsia" w:ascii="仿宋" w:hAnsi="仿宋" w:eastAsia="仿宋"/>
          <w:sz w:val="32"/>
          <w:szCs w:val="32"/>
        </w:rPr>
        <w:t>万元，</w:t>
      </w:r>
      <w:r>
        <w:rPr>
          <w:rFonts w:hint="eastAsia" w:ascii="仿宋" w:hAnsi="仿宋" w:eastAsia="仿宋" w:cs="仿宋_GB2312"/>
          <w:sz w:val="32"/>
          <w:szCs w:val="32"/>
        </w:rPr>
        <w:t>比上年</w:t>
      </w:r>
      <w:r>
        <w:rPr>
          <w:rFonts w:hint="eastAsia" w:ascii="仿宋" w:hAnsi="仿宋" w:eastAsia="仿宋" w:cs="仿宋_GB2312"/>
          <w:sz w:val="32"/>
          <w:szCs w:val="32"/>
          <w:lang w:eastAsia="zh-CN"/>
        </w:rPr>
        <w:t>减少</w:t>
      </w:r>
      <w:r>
        <w:rPr>
          <w:rFonts w:hint="eastAsia" w:ascii="仿宋" w:hAnsi="仿宋" w:eastAsia="仿宋" w:cs="仿宋_GB2312"/>
          <w:sz w:val="32"/>
          <w:szCs w:val="32"/>
          <w:lang w:val="en-US" w:eastAsia="zh-CN"/>
        </w:rPr>
        <w:t>5.44</w:t>
      </w:r>
      <w:r>
        <w:rPr>
          <w:rFonts w:hint="eastAsia" w:ascii="仿宋" w:hAnsi="仿宋" w:eastAsia="仿宋" w:cs="仿宋_GB2312"/>
          <w:kern w:val="0"/>
          <w:sz w:val="32"/>
          <w:szCs w:val="32"/>
        </w:rPr>
        <w:t>万元，</w:t>
      </w:r>
      <w:r>
        <w:rPr>
          <w:rFonts w:hint="eastAsia" w:ascii="仿宋" w:hAnsi="仿宋" w:eastAsia="仿宋" w:cs="仿宋_GB2312"/>
          <w:sz w:val="32"/>
          <w:szCs w:val="32"/>
          <w:lang w:eastAsia="zh-CN"/>
        </w:rPr>
        <w:t>减少</w:t>
      </w:r>
      <w:r>
        <w:rPr>
          <w:rFonts w:hint="eastAsia" w:ascii="仿宋" w:hAnsi="仿宋" w:eastAsia="仿宋" w:cs="仿宋_GB2312"/>
          <w:sz w:val="32"/>
          <w:szCs w:val="32"/>
          <w:lang w:val="en-US" w:eastAsia="zh-CN"/>
        </w:rPr>
        <w:t>18.61</w:t>
      </w:r>
      <w:r>
        <w:rPr>
          <w:rFonts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cs="仿宋_GB2312"/>
          <w:sz w:val="32"/>
          <w:szCs w:val="32"/>
          <w:lang w:eastAsia="zh-CN"/>
        </w:rPr>
        <w:t>严格落实过紧日子要求，强化预算约束，优化支出结构、厉行节约</w:t>
      </w:r>
      <w:r>
        <w:rPr>
          <w:rFonts w:hint="eastAsia" w:ascii="仿宋" w:hAnsi="仿宋" w:eastAsia="仿宋" w:cs="仿宋_GB2312"/>
          <w:sz w:val="32"/>
          <w:szCs w:val="32"/>
        </w:rPr>
        <w:t>。</w:t>
      </w:r>
    </w:p>
    <w:p w14:paraId="2FB9F731">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5371EC6A">
      <w:pPr>
        <w:spacing w:line="600" w:lineRule="exact"/>
        <w:ind w:firstLine="640" w:firstLineChars="200"/>
        <w:rPr>
          <w:rFonts w:ascii="楷体" w:hAnsi="楷体" w:eastAsia="楷体"/>
          <w:sz w:val="32"/>
          <w:szCs w:val="32"/>
        </w:rPr>
      </w:pPr>
      <w:r>
        <w:rPr>
          <w:rFonts w:hint="eastAsia" w:ascii="仿宋" w:hAnsi="仿宋" w:eastAsia="仿宋"/>
          <w:kern w:val="0"/>
          <w:sz w:val="32"/>
          <w:szCs w:val="32"/>
          <w:lang w:val="en-US" w:eastAsia="zh-CN"/>
        </w:rPr>
        <w:t>2026</w:t>
      </w:r>
      <w:r>
        <w:rPr>
          <w:rFonts w:hint="eastAsia" w:ascii="仿宋" w:hAnsi="仿宋" w:eastAsia="仿宋"/>
          <w:kern w:val="0"/>
          <w:sz w:val="32"/>
          <w:szCs w:val="32"/>
        </w:rPr>
        <w:t>年，</w:t>
      </w:r>
      <w:r>
        <w:rPr>
          <w:rFonts w:hint="eastAsia" w:ascii="仿宋" w:hAnsi="仿宋" w:eastAsia="仿宋" w:cs="仿宋_GB2312"/>
          <w:kern w:val="0"/>
          <w:sz w:val="32"/>
          <w:szCs w:val="32"/>
          <w:lang w:eastAsia="zh-CN"/>
        </w:rPr>
        <w:t>双洋镇人民政府的</w:t>
      </w:r>
      <w:bookmarkStart w:id="0" w:name="_GoBack"/>
      <w:bookmarkEnd w:id="0"/>
      <w:r>
        <w:rPr>
          <w:rFonts w:hint="eastAsia" w:ascii="仿宋" w:hAnsi="仿宋" w:eastAsia="仿宋"/>
          <w:kern w:val="0"/>
          <w:sz w:val="32"/>
          <w:szCs w:val="32"/>
        </w:rPr>
        <w:t>政府采购预算总额</w:t>
      </w:r>
      <w:r>
        <w:rPr>
          <w:rFonts w:hint="eastAsia" w:ascii="仿宋" w:hAnsi="仿宋" w:eastAsia="仿宋"/>
          <w:kern w:val="0"/>
          <w:sz w:val="32"/>
          <w:szCs w:val="32"/>
          <w:lang w:val="en-US" w:eastAsia="zh-CN"/>
        </w:rPr>
        <w:t>156.55</w:t>
      </w:r>
      <w:r>
        <w:rPr>
          <w:rFonts w:hint="eastAsia" w:ascii="仿宋" w:hAnsi="仿宋" w:eastAsia="仿宋"/>
          <w:kern w:val="0"/>
          <w:sz w:val="32"/>
          <w:szCs w:val="32"/>
        </w:rPr>
        <w:t>万元，其中：政府采购货物预算</w:t>
      </w:r>
      <w:r>
        <w:rPr>
          <w:rFonts w:hint="eastAsia" w:ascii="仿宋" w:hAnsi="仿宋" w:eastAsia="仿宋"/>
          <w:kern w:val="0"/>
          <w:sz w:val="32"/>
          <w:szCs w:val="32"/>
          <w:lang w:val="en-US" w:eastAsia="zh-CN"/>
        </w:rPr>
        <w:t>2.9</w:t>
      </w:r>
      <w:r>
        <w:rPr>
          <w:rFonts w:hint="eastAsia" w:ascii="仿宋" w:hAnsi="仿宋" w:eastAsia="仿宋"/>
          <w:kern w:val="0"/>
          <w:sz w:val="32"/>
          <w:szCs w:val="32"/>
        </w:rPr>
        <w:t>万元、政府采购工程预算</w:t>
      </w:r>
      <w:r>
        <w:rPr>
          <w:rFonts w:hint="eastAsia" w:ascii="仿宋" w:hAnsi="仿宋" w:eastAsia="仿宋"/>
          <w:kern w:val="0"/>
          <w:sz w:val="32"/>
          <w:szCs w:val="32"/>
          <w:lang w:val="en-US" w:eastAsia="zh-CN"/>
        </w:rPr>
        <w:t>0</w:t>
      </w:r>
      <w:r>
        <w:rPr>
          <w:rFonts w:hint="eastAsia" w:ascii="仿宋" w:hAnsi="仿宋" w:eastAsia="仿宋"/>
          <w:kern w:val="0"/>
          <w:sz w:val="32"/>
          <w:szCs w:val="32"/>
        </w:rPr>
        <w:t>万元、政府采购服务预算</w:t>
      </w:r>
      <w:r>
        <w:rPr>
          <w:rFonts w:hint="eastAsia" w:ascii="仿宋" w:hAnsi="仿宋" w:eastAsia="仿宋"/>
          <w:kern w:val="0"/>
          <w:sz w:val="32"/>
          <w:szCs w:val="32"/>
          <w:lang w:val="en-US" w:eastAsia="zh-CN"/>
        </w:rPr>
        <w:t>201</w:t>
      </w:r>
      <w:r>
        <w:rPr>
          <w:rFonts w:hint="eastAsia" w:ascii="仿宋" w:hAnsi="仿宋" w:eastAsia="仿宋"/>
          <w:kern w:val="0"/>
          <w:sz w:val="32"/>
          <w:szCs w:val="32"/>
        </w:rPr>
        <w:t>万元。</w:t>
      </w:r>
    </w:p>
    <w:p w14:paraId="77CD99D9">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5983D327">
      <w:pPr>
        <w:spacing w:line="600" w:lineRule="exact"/>
        <w:ind w:firstLine="640" w:firstLineChars="200"/>
        <w:rPr>
          <w:rFonts w:ascii="楷体" w:hAnsi="楷体" w:eastAsia="楷体" w:cs="楷体"/>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lang w:val="en-US" w:eastAsia="zh-CN"/>
        </w:rPr>
        <w:t>2025</w:t>
      </w:r>
      <w:r>
        <w:rPr>
          <w:rFonts w:hint="eastAsia" w:ascii="仿宋" w:hAnsi="仿宋" w:eastAsia="仿宋" w:cs="仿宋_GB2312"/>
          <w:kern w:val="0"/>
          <w:sz w:val="32"/>
          <w:szCs w:val="32"/>
        </w:rPr>
        <w:t>年12月31日，</w:t>
      </w:r>
      <w:r>
        <w:rPr>
          <w:rFonts w:hint="eastAsia" w:ascii="仿宋" w:hAnsi="仿宋" w:eastAsia="仿宋" w:cs="仿宋_GB2312"/>
          <w:kern w:val="0"/>
          <w:sz w:val="32"/>
          <w:szCs w:val="32"/>
          <w:lang w:eastAsia="zh-CN"/>
        </w:rPr>
        <w:t>双洋镇人民政府</w:t>
      </w:r>
      <w:r>
        <w:rPr>
          <w:rFonts w:hint="eastAsia" w:ascii="仿宋" w:hAnsi="仿宋" w:eastAsia="仿宋"/>
          <w:sz w:val="32"/>
          <w:szCs w:val="32"/>
        </w:rPr>
        <w:t>部门共有车辆</w:t>
      </w:r>
      <w:r>
        <w:rPr>
          <w:rFonts w:hint="eastAsia" w:ascii="仿宋" w:hAnsi="仿宋" w:eastAsia="仿宋" w:cs="仿宋_GB2312"/>
          <w:kern w:val="0"/>
          <w:sz w:val="32"/>
          <w:szCs w:val="32"/>
          <w:lang w:val="en-US" w:eastAsia="zh-CN"/>
        </w:rPr>
        <w:t>2</w:t>
      </w:r>
      <w:r>
        <w:rPr>
          <w:rFonts w:hint="eastAsia" w:ascii="仿宋" w:hAnsi="仿宋" w:eastAsia="仿宋"/>
          <w:sz w:val="32"/>
          <w:szCs w:val="32"/>
        </w:rPr>
        <w:t>辆，其中：省部级领导干部用车</w:t>
      </w:r>
      <w:r>
        <w:rPr>
          <w:rFonts w:hint="eastAsia" w:ascii="仿宋" w:hAnsi="仿宋" w:eastAsia="仿宋" w:cs="仿宋_GB2312"/>
          <w:kern w:val="0"/>
          <w:sz w:val="32"/>
          <w:szCs w:val="32"/>
          <w:lang w:val="en-US" w:eastAsia="zh-CN"/>
        </w:rPr>
        <w:t>0</w:t>
      </w:r>
      <w:r>
        <w:rPr>
          <w:rFonts w:hint="eastAsia" w:ascii="仿宋" w:hAnsi="仿宋" w:eastAsia="仿宋"/>
          <w:sz w:val="32"/>
          <w:szCs w:val="32"/>
        </w:rPr>
        <w:t>辆、机要通信用车</w:t>
      </w:r>
      <w:r>
        <w:rPr>
          <w:rFonts w:hint="eastAsia" w:ascii="仿宋" w:hAnsi="仿宋" w:eastAsia="仿宋" w:cs="仿宋_GB2312"/>
          <w:kern w:val="0"/>
          <w:sz w:val="32"/>
          <w:szCs w:val="32"/>
          <w:lang w:val="en-US" w:eastAsia="zh-CN"/>
        </w:rPr>
        <w:t>0</w:t>
      </w:r>
      <w:r>
        <w:rPr>
          <w:rFonts w:hint="eastAsia" w:ascii="仿宋" w:hAnsi="仿宋" w:eastAsia="仿宋"/>
          <w:sz w:val="32"/>
          <w:szCs w:val="32"/>
        </w:rPr>
        <w:t>辆、应急保障用车</w:t>
      </w:r>
      <w:r>
        <w:rPr>
          <w:rFonts w:hint="eastAsia" w:ascii="仿宋" w:hAnsi="仿宋" w:eastAsia="仿宋" w:cs="仿宋_GB2312"/>
          <w:kern w:val="0"/>
          <w:sz w:val="32"/>
          <w:szCs w:val="32"/>
          <w:lang w:val="en-US" w:eastAsia="zh-CN"/>
        </w:rPr>
        <w:t>0</w:t>
      </w:r>
      <w:r>
        <w:rPr>
          <w:rFonts w:hint="eastAsia" w:ascii="仿宋" w:hAnsi="仿宋" w:eastAsia="仿宋"/>
          <w:sz w:val="32"/>
          <w:szCs w:val="32"/>
        </w:rPr>
        <w:t>辆、执法执勤用车</w:t>
      </w:r>
      <w:r>
        <w:rPr>
          <w:rFonts w:hint="eastAsia" w:ascii="仿宋" w:hAnsi="仿宋" w:eastAsia="仿宋" w:cs="仿宋_GB2312"/>
          <w:kern w:val="0"/>
          <w:sz w:val="32"/>
          <w:szCs w:val="32"/>
          <w:lang w:val="en-US" w:eastAsia="zh-CN"/>
        </w:rPr>
        <w:t>0</w:t>
      </w:r>
      <w:r>
        <w:rPr>
          <w:rFonts w:hint="eastAsia" w:ascii="仿宋" w:hAnsi="仿宋" w:eastAsia="仿宋"/>
          <w:sz w:val="32"/>
          <w:szCs w:val="32"/>
        </w:rPr>
        <w:t>辆、特种专业技术用车</w:t>
      </w:r>
      <w:r>
        <w:rPr>
          <w:rFonts w:hint="eastAsia" w:ascii="仿宋" w:hAnsi="仿宋" w:eastAsia="仿宋" w:cs="仿宋_GB2312"/>
          <w:kern w:val="0"/>
          <w:sz w:val="32"/>
          <w:szCs w:val="32"/>
          <w:lang w:val="en-US" w:eastAsia="zh-CN"/>
        </w:rPr>
        <w:t>0</w:t>
      </w:r>
      <w:r>
        <w:rPr>
          <w:rFonts w:hint="eastAsia" w:ascii="仿宋" w:hAnsi="仿宋" w:eastAsia="仿宋"/>
          <w:sz w:val="32"/>
          <w:szCs w:val="32"/>
        </w:rPr>
        <w:t>辆、其他用车</w:t>
      </w:r>
      <w:r>
        <w:rPr>
          <w:rFonts w:hint="eastAsia" w:ascii="仿宋" w:hAnsi="仿宋" w:eastAsia="仿宋" w:cs="仿宋_GB2312"/>
          <w:kern w:val="0"/>
          <w:sz w:val="32"/>
          <w:szCs w:val="32"/>
          <w:lang w:val="en-US" w:eastAsia="zh-CN"/>
        </w:rPr>
        <w:t>2</w:t>
      </w:r>
      <w:r>
        <w:rPr>
          <w:rFonts w:hint="eastAsia" w:ascii="仿宋" w:hAnsi="仿宋" w:eastAsia="仿宋"/>
          <w:sz w:val="32"/>
          <w:szCs w:val="32"/>
        </w:rPr>
        <w:t>辆。单位价值100万元（含）以上设备</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台（套）。</w:t>
      </w:r>
    </w:p>
    <w:p w14:paraId="26CB8262">
      <w:pPr>
        <w:ind w:firstLine="640" w:firstLineChars="200"/>
        <w:rPr>
          <w:rFonts w:ascii="仿宋" w:hAnsi="仿宋" w:eastAsia="仿宋" w:cs="楷体"/>
          <w:kern w:val="0"/>
          <w:sz w:val="32"/>
          <w:szCs w:val="32"/>
        </w:rPr>
      </w:pPr>
      <w:r>
        <w:rPr>
          <w:rFonts w:hint="eastAsia" w:ascii="仿宋" w:hAnsi="仿宋" w:eastAsia="仿宋" w:cs="楷体"/>
          <w:kern w:val="0"/>
          <w:sz w:val="32"/>
          <w:szCs w:val="32"/>
          <w:lang w:val="en-US" w:eastAsia="zh-CN"/>
        </w:rPr>
        <w:t>2026</w:t>
      </w:r>
      <w:r>
        <w:rPr>
          <w:rFonts w:hint="eastAsia" w:ascii="仿宋" w:hAnsi="仿宋" w:eastAsia="仿宋" w:cs="楷体"/>
          <w:kern w:val="0"/>
          <w:sz w:val="32"/>
          <w:szCs w:val="32"/>
        </w:rPr>
        <w:t>年部门预算安排购置车辆</w:t>
      </w:r>
      <w:r>
        <w:rPr>
          <w:rFonts w:hint="eastAsia" w:ascii="仿宋" w:hAnsi="仿宋" w:eastAsia="仿宋" w:cs="仿宋_GB2312"/>
          <w:kern w:val="0"/>
          <w:sz w:val="32"/>
          <w:szCs w:val="32"/>
          <w:lang w:val="en-US" w:eastAsia="zh-CN"/>
        </w:rPr>
        <w:t>0</w:t>
      </w:r>
      <w:r>
        <w:rPr>
          <w:rFonts w:hint="eastAsia" w:ascii="仿宋" w:hAnsi="仿宋" w:eastAsia="仿宋"/>
          <w:sz w:val="32"/>
          <w:szCs w:val="32"/>
        </w:rPr>
        <w:t>辆，单位价值100万元（含）以上设备</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台（套）。</w:t>
      </w:r>
    </w:p>
    <w:p w14:paraId="0F09962C">
      <w:pPr>
        <w:jc w:val="both"/>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01AE20A1">
      <w:pPr>
        <w:jc w:val="center"/>
        <w:rPr>
          <w:rFonts w:ascii="黑体" w:hAnsi="黑体" w:eastAsia="黑体"/>
          <w:sz w:val="56"/>
        </w:rPr>
      </w:pPr>
    </w:p>
    <w:p w14:paraId="6A2FA7FC">
      <w:pPr>
        <w:jc w:val="center"/>
        <w:rPr>
          <w:rFonts w:ascii="黑体" w:hAnsi="黑体" w:eastAsia="黑体"/>
          <w:sz w:val="56"/>
        </w:rPr>
      </w:pPr>
    </w:p>
    <w:p w14:paraId="522210D3">
      <w:pPr>
        <w:jc w:val="center"/>
        <w:rPr>
          <w:rFonts w:ascii="黑体" w:hAnsi="黑体" w:eastAsia="黑体"/>
          <w:sz w:val="56"/>
        </w:rPr>
      </w:pPr>
    </w:p>
    <w:p w14:paraId="47052C1F">
      <w:pPr>
        <w:jc w:val="center"/>
        <w:rPr>
          <w:rFonts w:ascii="黑体" w:hAnsi="黑体" w:eastAsia="黑体"/>
          <w:sz w:val="56"/>
        </w:rPr>
      </w:pPr>
    </w:p>
    <w:p w14:paraId="0223267E">
      <w:pPr>
        <w:jc w:val="center"/>
        <w:rPr>
          <w:rFonts w:ascii="黑体" w:hAnsi="黑体" w:eastAsia="黑体"/>
          <w:sz w:val="56"/>
        </w:rPr>
      </w:pPr>
    </w:p>
    <w:p w14:paraId="4F42F1B4">
      <w:pPr>
        <w:jc w:val="left"/>
        <w:rPr>
          <w:rFonts w:ascii="黑体" w:hAnsi="黑体" w:eastAsia="黑体"/>
          <w:sz w:val="56"/>
        </w:rPr>
      </w:pPr>
      <w:r>
        <w:rPr>
          <w:rFonts w:hint="eastAsia" w:ascii="黑体" w:hAnsi="黑体" w:eastAsia="黑体"/>
          <w:sz w:val="56"/>
        </w:rPr>
        <w:t>第四部分</w:t>
      </w:r>
    </w:p>
    <w:p w14:paraId="622F3D4B">
      <w:pPr>
        <w:jc w:val="center"/>
        <w:rPr>
          <w:rFonts w:ascii="黑体" w:hAnsi="黑体" w:eastAsia="黑体"/>
          <w:sz w:val="56"/>
        </w:rPr>
      </w:pPr>
      <w:r>
        <w:rPr>
          <w:rFonts w:hint="eastAsia" w:ascii="黑体" w:hAnsi="黑体" w:eastAsia="黑体"/>
          <w:sz w:val="56"/>
        </w:rPr>
        <w:t>名词解释</w:t>
      </w:r>
    </w:p>
    <w:p w14:paraId="44B8D5A9">
      <w:pPr>
        <w:jc w:val="center"/>
        <w:rPr>
          <w:rFonts w:asciiTheme="majorEastAsia" w:hAnsiTheme="majorEastAsia" w:eastAsiaTheme="majorEastAsia"/>
          <w:b/>
          <w:sz w:val="40"/>
        </w:rPr>
      </w:pPr>
    </w:p>
    <w:p w14:paraId="543B9593">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64B27C7C">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p>
    <w:p w14:paraId="23296A29">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3BD1E3C7">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p>
    <w:p w14:paraId="44B13618">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p>
    <w:p w14:paraId="1A2E21F7">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5D87A4D8">
      <w:pPr>
        <w:pStyle w:val="17"/>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p>
    <w:p w14:paraId="7BB818FE">
      <w:pPr>
        <w:pStyle w:val="17"/>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p>
    <w:p w14:paraId="1C55748B">
      <w:pPr>
        <w:pStyle w:val="17"/>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p>
    <w:p w14:paraId="2C717E50">
      <w:pPr>
        <w:pStyle w:val="17"/>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1FC77F50">
      <w:pPr>
        <w:pStyle w:val="17"/>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05C4442B">
      <w:pPr>
        <w:pStyle w:val="17"/>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p>
    <w:p w14:paraId="7CF3D164">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83C52DB">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32817497"/>
    </w:sdtPr>
    <w:sdtEndPr>
      <w:rPr>
        <w:rFonts w:asciiTheme="minorEastAsia" w:hAnsiTheme="minorEastAsia"/>
        <w:sz w:val="20"/>
      </w:rPr>
    </w:sdtEndPr>
    <w:sdtContent>
      <w:p w14:paraId="61787DD5">
        <w:pPr>
          <w:pStyle w:val="8"/>
          <w:jc w:val="center"/>
        </w:pPr>
        <w:r>
          <w:rPr>
            <w:rFonts w:asciiTheme="minorEastAsia" w:hAnsiTheme="minorEastAsia"/>
            <w:sz w:val="20"/>
          </w:rPr>
          <w:fldChar w:fldCharType="begin"/>
        </w:r>
        <w:r>
          <w:rPr>
            <w:rFonts w:asciiTheme="minorEastAsia" w:hAnsiTheme="minorEastAsia"/>
            <w:sz w:val="20"/>
          </w:rPr>
          <w:instrText xml:space="preserve">PAGE   \* MERGEFORMAT</w:instrText>
        </w:r>
        <w:r>
          <w:rPr>
            <w:rFonts w:asciiTheme="minorEastAsia" w:hAnsiTheme="minorEastAsia"/>
            <w:sz w:val="20"/>
          </w:rPr>
          <w:fldChar w:fldCharType="separate"/>
        </w:r>
        <w:r>
          <w:rPr>
            <w:rFonts w:asciiTheme="minorEastAsia" w:hAnsiTheme="minorEastAsia"/>
            <w:sz w:val="20"/>
            <w:lang w:val="zh-CN"/>
          </w:rPr>
          <w:t>35</w:t>
        </w:r>
        <w:r>
          <w:rPr>
            <w:rFonts w:asciiTheme="minorEastAsia" w:hAnsiTheme="minorEastAsia"/>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2DC4D">
    <w:pPr>
      <w:pStyle w:val="9"/>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4E2A3D"/>
    <w:multiLevelType w:val="singleLevel"/>
    <w:tmpl w:val="D74E2A3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DY1M2FkYjkzZWE4ZWQ5NWM3YTAxNjgwYmQ1NzVhMTYifQ=="/>
  </w:docVars>
  <w:rsids>
    <w:rsidRoot w:val="00317140"/>
    <w:rsid w:val="000137C6"/>
    <w:rsid w:val="00015F8A"/>
    <w:rsid w:val="00021833"/>
    <w:rsid w:val="00033F71"/>
    <w:rsid w:val="0003780F"/>
    <w:rsid w:val="000470A9"/>
    <w:rsid w:val="00080CC1"/>
    <w:rsid w:val="0008592D"/>
    <w:rsid w:val="00085F2B"/>
    <w:rsid w:val="00096056"/>
    <w:rsid w:val="000B35CC"/>
    <w:rsid w:val="00105219"/>
    <w:rsid w:val="001315FC"/>
    <w:rsid w:val="00134215"/>
    <w:rsid w:val="0014464B"/>
    <w:rsid w:val="00145976"/>
    <w:rsid w:val="001569B3"/>
    <w:rsid w:val="00162161"/>
    <w:rsid w:val="00167378"/>
    <w:rsid w:val="00172CC0"/>
    <w:rsid w:val="001767B3"/>
    <w:rsid w:val="0018385B"/>
    <w:rsid w:val="001A47A7"/>
    <w:rsid w:val="001A5903"/>
    <w:rsid w:val="001B45ED"/>
    <w:rsid w:val="001D0094"/>
    <w:rsid w:val="001D4196"/>
    <w:rsid w:val="001E2339"/>
    <w:rsid w:val="001F391B"/>
    <w:rsid w:val="002020AE"/>
    <w:rsid w:val="00221F98"/>
    <w:rsid w:val="002243EF"/>
    <w:rsid w:val="002311C9"/>
    <w:rsid w:val="00240977"/>
    <w:rsid w:val="00244E2B"/>
    <w:rsid w:val="00245FED"/>
    <w:rsid w:val="00264B96"/>
    <w:rsid w:val="00266AC6"/>
    <w:rsid w:val="00290C77"/>
    <w:rsid w:val="002B1982"/>
    <w:rsid w:val="002B699A"/>
    <w:rsid w:val="002D3F89"/>
    <w:rsid w:val="002E123F"/>
    <w:rsid w:val="002F0ECE"/>
    <w:rsid w:val="002F1995"/>
    <w:rsid w:val="002F1B6F"/>
    <w:rsid w:val="00305616"/>
    <w:rsid w:val="00311E91"/>
    <w:rsid w:val="00312014"/>
    <w:rsid w:val="00317140"/>
    <w:rsid w:val="003322AE"/>
    <w:rsid w:val="00334F93"/>
    <w:rsid w:val="00353125"/>
    <w:rsid w:val="00360D9A"/>
    <w:rsid w:val="00381D4F"/>
    <w:rsid w:val="003B2C9B"/>
    <w:rsid w:val="003B798E"/>
    <w:rsid w:val="003C2183"/>
    <w:rsid w:val="00405EA3"/>
    <w:rsid w:val="00414790"/>
    <w:rsid w:val="0042125F"/>
    <w:rsid w:val="00421FB1"/>
    <w:rsid w:val="00434CBE"/>
    <w:rsid w:val="00442172"/>
    <w:rsid w:val="00445C9B"/>
    <w:rsid w:val="0044633A"/>
    <w:rsid w:val="004D696A"/>
    <w:rsid w:val="004F016A"/>
    <w:rsid w:val="004F0B75"/>
    <w:rsid w:val="00504A24"/>
    <w:rsid w:val="005354CD"/>
    <w:rsid w:val="00535E87"/>
    <w:rsid w:val="00577AEF"/>
    <w:rsid w:val="00584849"/>
    <w:rsid w:val="005A69E4"/>
    <w:rsid w:val="005B00AC"/>
    <w:rsid w:val="005B1EBF"/>
    <w:rsid w:val="005D7140"/>
    <w:rsid w:val="00606548"/>
    <w:rsid w:val="00606A72"/>
    <w:rsid w:val="006354A5"/>
    <w:rsid w:val="00635A04"/>
    <w:rsid w:val="0064014D"/>
    <w:rsid w:val="00645111"/>
    <w:rsid w:val="006A5A31"/>
    <w:rsid w:val="006B70C6"/>
    <w:rsid w:val="006C4713"/>
    <w:rsid w:val="006F1EE5"/>
    <w:rsid w:val="007015F0"/>
    <w:rsid w:val="007030FB"/>
    <w:rsid w:val="00723EF2"/>
    <w:rsid w:val="00743C81"/>
    <w:rsid w:val="00753E47"/>
    <w:rsid w:val="00760DCF"/>
    <w:rsid w:val="00763A54"/>
    <w:rsid w:val="00773637"/>
    <w:rsid w:val="00775567"/>
    <w:rsid w:val="007A30B9"/>
    <w:rsid w:val="007B32F9"/>
    <w:rsid w:val="007C60CF"/>
    <w:rsid w:val="00800C7B"/>
    <w:rsid w:val="00804D1C"/>
    <w:rsid w:val="008071E4"/>
    <w:rsid w:val="008519DD"/>
    <w:rsid w:val="00855527"/>
    <w:rsid w:val="0086239A"/>
    <w:rsid w:val="008763D2"/>
    <w:rsid w:val="00880C2D"/>
    <w:rsid w:val="008906D2"/>
    <w:rsid w:val="008A73C5"/>
    <w:rsid w:val="008A7421"/>
    <w:rsid w:val="008D5DFA"/>
    <w:rsid w:val="008D6F87"/>
    <w:rsid w:val="008E3CBD"/>
    <w:rsid w:val="00937A03"/>
    <w:rsid w:val="0094672F"/>
    <w:rsid w:val="009739A9"/>
    <w:rsid w:val="009756CF"/>
    <w:rsid w:val="009B5F94"/>
    <w:rsid w:val="009C7FB5"/>
    <w:rsid w:val="009D76A4"/>
    <w:rsid w:val="00A0449D"/>
    <w:rsid w:val="00A10948"/>
    <w:rsid w:val="00A23912"/>
    <w:rsid w:val="00A36EAA"/>
    <w:rsid w:val="00A403DC"/>
    <w:rsid w:val="00A4118D"/>
    <w:rsid w:val="00A6048C"/>
    <w:rsid w:val="00A818C9"/>
    <w:rsid w:val="00A855BE"/>
    <w:rsid w:val="00AA455B"/>
    <w:rsid w:val="00AB1283"/>
    <w:rsid w:val="00AB1C5D"/>
    <w:rsid w:val="00AB691F"/>
    <w:rsid w:val="00AD7433"/>
    <w:rsid w:val="00B07727"/>
    <w:rsid w:val="00B43BCC"/>
    <w:rsid w:val="00B67551"/>
    <w:rsid w:val="00B80A6F"/>
    <w:rsid w:val="00B83C27"/>
    <w:rsid w:val="00BF7317"/>
    <w:rsid w:val="00C02DE3"/>
    <w:rsid w:val="00C16FD3"/>
    <w:rsid w:val="00C33A0A"/>
    <w:rsid w:val="00C43C36"/>
    <w:rsid w:val="00C7095D"/>
    <w:rsid w:val="00C82173"/>
    <w:rsid w:val="00C9493F"/>
    <w:rsid w:val="00CA39A1"/>
    <w:rsid w:val="00CC6B40"/>
    <w:rsid w:val="00D15C3B"/>
    <w:rsid w:val="00D208E9"/>
    <w:rsid w:val="00D4799A"/>
    <w:rsid w:val="00D95257"/>
    <w:rsid w:val="00DD0E76"/>
    <w:rsid w:val="00DD596A"/>
    <w:rsid w:val="00DF317E"/>
    <w:rsid w:val="00E005FB"/>
    <w:rsid w:val="00E05319"/>
    <w:rsid w:val="00E236B8"/>
    <w:rsid w:val="00E332A8"/>
    <w:rsid w:val="00E67E4C"/>
    <w:rsid w:val="00E71AA9"/>
    <w:rsid w:val="00E90672"/>
    <w:rsid w:val="00E93BA5"/>
    <w:rsid w:val="00E9659E"/>
    <w:rsid w:val="00EA0606"/>
    <w:rsid w:val="00EA2CC5"/>
    <w:rsid w:val="00ED1D1C"/>
    <w:rsid w:val="00EF3EDC"/>
    <w:rsid w:val="00F233C0"/>
    <w:rsid w:val="00F32365"/>
    <w:rsid w:val="00F3255D"/>
    <w:rsid w:val="00F32D3C"/>
    <w:rsid w:val="00F62AD2"/>
    <w:rsid w:val="00F937DA"/>
    <w:rsid w:val="00FB3D59"/>
    <w:rsid w:val="00FC4095"/>
    <w:rsid w:val="00FE616A"/>
    <w:rsid w:val="00FE6949"/>
    <w:rsid w:val="00FF7B38"/>
    <w:rsid w:val="00FF7EA0"/>
    <w:rsid w:val="01D54BFB"/>
    <w:rsid w:val="04700DA8"/>
    <w:rsid w:val="0A586566"/>
    <w:rsid w:val="0FE6141E"/>
    <w:rsid w:val="11535CDA"/>
    <w:rsid w:val="12631C2B"/>
    <w:rsid w:val="12A60185"/>
    <w:rsid w:val="133C2B53"/>
    <w:rsid w:val="13876220"/>
    <w:rsid w:val="13946135"/>
    <w:rsid w:val="13CA1B57"/>
    <w:rsid w:val="14217BBB"/>
    <w:rsid w:val="14E8498B"/>
    <w:rsid w:val="17E72553"/>
    <w:rsid w:val="1A0062D3"/>
    <w:rsid w:val="1A865535"/>
    <w:rsid w:val="1B5E1503"/>
    <w:rsid w:val="1BF754B3"/>
    <w:rsid w:val="1E2C3B3A"/>
    <w:rsid w:val="24696B33"/>
    <w:rsid w:val="25F27417"/>
    <w:rsid w:val="26543C2E"/>
    <w:rsid w:val="269C5ED8"/>
    <w:rsid w:val="26E114D3"/>
    <w:rsid w:val="27083E91"/>
    <w:rsid w:val="282B4E63"/>
    <w:rsid w:val="28E05B40"/>
    <w:rsid w:val="29D627A9"/>
    <w:rsid w:val="2A647DD0"/>
    <w:rsid w:val="2B2838DB"/>
    <w:rsid w:val="2B7F6722"/>
    <w:rsid w:val="2FEF6776"/>
    <w:rsid w:val="31E1639A"/>
    <w:rsid w:val="31F67DB0"/>
    <w:rsid w:val="3304078A"/>
    <w:rsid w:val="35FB549E"/>
    <w:rsid w:val="387B14EE"/>
    <w:rsid w:val="389F4A2A"/>
    <w:rsid w:val="38B63099"/>
    <w:rsid w:val="3A9A5223"/>
    <w:rsid w:val="3AD14FE6"/>
    <w:rsid w:val="3B0E7E03"/>
    <w:rsid w:val="3B9F3352"/>
    <w:rsid w:val="3C93310A"/>
    <w:rsid w:val="3CE16539"/>
    <w:rsid w:val="3D1A3CBB"/>
    <w:rsid w:val="3F4A7370"/>
    <w:rsid w:val="3FAA4467"/>
    <w:rsid w:val="40664A21"/>
    <w:rsid w:val="407252ED"/>
    <w:rsid w:val="41CC4B69"/>
    <w:rsid w:val="420330D8"/>
    <w:rsid w:val="437A32BA"/>
    <w:rsid w:val="448C3AE3"/>
    <w:rsid w:val="44D3620E"/>
    <w:rsid w:val="46393340"/>
    <w:rsid w:val="4921579A"/>
    <w:rsid w:val="4A7E09CA"/>
    <w:rsid w:val="4ADD4FA6"/>
    <w:rsid w:val="4D424BF3"/>
    <w:rsid w:val="4E344BFD"/>
    <w:rsid w:val="520F125D"/>
    <w:rsid w:val="587F33E7"/>
    <w:rsid w:val="59CC2AAD"/>
    <w:rsid w:val="5A010E1A"/>
    <w:rsid w:val="5A5814B2"/>
    <w:rsid w:val="5AFE7845"/>
    <w:rsid w:val="5BCD1176"/>
    <w:rsid w:val="60076566"/>
    <w:rsid w:val="600B77BA"/>
    <w:rsid w:val="62354F1E"/>
    <w:rsid w:val="62F74D81"/>
    <w:rsid w:val="64355627"/>
    <w:rsid w:val="64FE0EA9"/>
    <w:rsid w:val="65FA13F5"/>
    <w:rsid w:val="672506F4"/>
    <w:rsid w:val="69B55AF0"/>
    <w:rsid w:val="6A645A3C"/>
    <w:rsid w:val="6C023ED0"/>
    <w:rsid w:val="6CFB4909"/>
    <w:rsid w:val="6D45389E"/>
    <w:rsid w:val="6F08090C"/>
    <w:rsid w:val="73477AD2"/>
    <w:rsid w:val="7387721E"/>
    <w:rsid w:val="770513BE"/>
    <w:rsid w:val="7D3923AB"/>
    <w:rsid w:val="7D7B0C16"/>
    <w:rsid w:val="7E14122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paragraph" w:styleId="3">
    <w:name w:val="heading 3"/>
    <w:basedOn w:val="1"/>
    <w:next w:val="1"/>
    <w:unhideWhenUsed/>
    <w:qFormat/>
    <w:uiPriority w:val="0"/>
    <w:pPr>
      <w:spacing w:before="100" w:beforeAutospacing="1" w:after="100" w:afterAutospacing="1"/>
      <w:jc w:val="left"/>
      <w:outlineLvl w:val="2"/>
    </w:pPr>
    <w:rPr>
      <w:rFonts w:hint="eastAsia" w:ascii="宋体" w:hAnsi="宋体"/>
      <w:b/>
      <w:bCs/>
      <w:kern w:val="0"/>
      <w:sz w:val="27"/>
      <w:szCs w:val="27"/>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99"/>
    <w:pPr>
      <w:spacing w:after="120" w:line="480" w:lineRule="auto"/>
      <w:ind w:left="420" w:leftChars="200"/>
    </w:pPr>
  </w:style>
  <w:style w:type="paragraph" w:styleId="4">
    <w:name w:val="Body Text"/>
    <w:basedOn w:val="1"/>
    <w:link w:val="15"/>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5">
    <w:name w:val="Body Text Indent"/>
    <w:basedOn w:val="1"/>
    <w:qFormat/>
    <w:uiPriority w:val="0"/>
    <w:pPr>
      <w:ind w:left="200" w:leftChars="200"/>
    </w:pPr>
  </w:style>
  <w:style w:type="paragraph" w:styleId="6">
    <w:name w:val="Plain Text"/>
    <w:basedOn w:val="1"/>
    <w:qFormat/>
    <w:uiPriority w:val="0"/>
    <w:rPr>
      <w:rFonts w:ascii="宋体" w:hAnsi="Courier New" w:eastAsia="宋体" w:cs="Courier New"/>
      <w:szCs w:val="21"/>
    </w:rPr>
  </w:style>
  <w:style w:type="paragraph" w:styleId="7">
    <w:name w:val="Balloon Text"/>
    <w:basedOn w:val="1"/>
    <w:link w:val="16"/>
    <w:unhideWhenUsed/>
    <w:qFormat/>
    <w:uiPriority w:val="99"/>
    <w:pPr>
      <w:spacing w:line="240" w:lineRule="auto"/>
    </w:pPr>
    <w:rPr>
      <w:sz w:val="18"/>
      <w:szCs w:val="18"/>
    </w:rPr>
  </w:style>
  <w:style w:type="paragraph" w:styleId="8">
    <w:name w:val="footer"/>
    <w:basedOn w:val="1"/>
    <w:link w:val="14"/>
    <w:unhideWhenUsed/>
    <w:qFormat/>
    <w:uiPriority w:val="99"/>
    <w:pPr>
      <w:tabs>
        <w:tab w:val="center" w:pos="4153"/>
        <w:tab w:val="right" w:pos="8306"/>
      </w:tabs>
      <w:snapToGrid w:val="0"/>
      <w:spacing w:line="240" w:lineRule="auto"/>
      <w:jc w:val="left"/>
    </w:pPr>
    <w:rPr>
      <w:sz w:val="18"/>
      <w:szCs w:val="18"/>
    </w:rPr>
  </w:style>
  <w:style w:type="paragraph" w:styleId="9">
    <w:name w:val="header"/>
    <w:basedOn w:val="1"/>
    <w:link w:val="13"/>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0">
    <w:name w:val="Body Text First Indent 2"/>
    <w:basedOn w:val="5"/>
    <w:qFormat/>
    <w:uiPriority w:val="0"/>
    <w:pPr>
      <w:ind w:left="0" w:leftChars="0" w:firstLine="420" w:firstLineChars="200"/>
    </w:pPr>
    <w:rPr>
      <w:rFonts w:ascii="宋体" w:hAnsi="宋体"/>
      <w:sz w:val="28"/>
      <w:szCs w:val="28"/>
    </w:rPr>
  </w:style>
  <w:style w:type="character" w:customStyle="1" w:styleId="13">
    <w:name w:val="页眉 Char"/>
    <w:basedOn w:val="12"/>
    <w:link w:val="9"/>
    <w:qFormat/>
    <w:uiPriority w:val="99"/>
    <w:rPr>
      <w:sz w:val="18"/>
      <w:szCs w:val="18"/>
    </w:rPr>
  </w:style>
  <w:style w:type="character" w:customStyle="1" w:styleId="14">
    <w:name w:val="页脚 Char"/>
    <w:basedOn w:val="12"/>
    <w:link w:val="8"/>
    <w:qFormat/>
    <w:uiPriority w:val="99"/>
    <w:rPr>
      <w:sz w:val="18"/>
      <w:szCs w:val="18"/>
    </w:rPr>
  </w:style>
  <w:style w:type="character" w:customStyle="1" w:styleId="15">
    <w:name w:val="正文文本 Char"/>
    <w:basedOn w:val="12"/>
    <w:link w:val="4"/>
    <w:qFormat/>
    <w:uiPriority w:val="1"/>
    <w:rPr>
      <w:rFonts w:ascii="Times New Roman" w:hAnsi="Times New Roman" w:eastAsia="Times New Roman" w:cs="Times New Roman"/>
      <w:kern w:val="0"/>
      <w:sz w:val="20"/>
      <w:szCs w:val="20"/>
      <w:lang w:eastAsia="en-US"/>
    </w:rPr>
  </w:style>
  <w:style w:type="character" w:customStyle="1" w:styleId="16">
    <w:name w:val="批注框文本 Char"/>
    <w:basedOn w:val="12"/>
    <w:link w:val="7"/>
    <w:semiHidden/>
    <w:qFormat/>
    <w:uiPriority w:val="99"/>
    <w:rPr>
      <w:sz w:val="18"/>
      <w:szCs w:val="18"/>
    </w:rPr>
  </w:style>
  <w:style w:type="paragraph" w:customStyle="1" w:styleId="17">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8">
    <w:name w:val="列出段落1"/>
    <w:basedOn w:val="1"/>
    <w:qFormat/>
    <w:uiPriority w:val="34"/>
    <w:pPr>
      <w:ind w:firstLine="420" w:firstLineChars="200"/>
    </w:pPr>
  </w:style>
  <w:style w:type="paragraph" w:styleId="1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34260-7EAB-4893-BDEC-DB93E23C86F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41</Pages>
  <Words>13100</Words>
  <Characters>14727</Characters>
  <Lines>85</Lines>
  <Paragraphs>24</Paragraphs>
  <TotalTime>18</TotalTime>
  <ScaleCrop>false</ScaleCrop>
  <LinksUpToDate>false</LinksUpToDate>
  <CharactersWithSpaces>15069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2019-03-10T08:45:00Z</dcterms:created>
  <dc:creator>null</dc:creator>
  <cp:lastModifiedBy>永燃的瞳术师</cp:lastModifiedBy>
  <cp:lastPrinted>2026-03-10T02:03:00Z</cp:lastPrinted>
  <dcterms:modified xsi:type="dcterms:W3CDTF">2026-07-08T09:30:46Z</dcterms:modified>
  <cp:revision>137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96FF3E8546904169ABC0CA88F27598AE_12</vt:lpwstr>
  </property>
  <property fmtid="{D5CDD505-2E9C-101B-9397-08002B2CF9AE}" pid="4" name="KSOTemplateDocerSaveRecord">
    <vt:lpwstr>eyJoZGlkIjoiNmM2MjRhZmIzOTQ4ODgzYmM4MzE4YjFjODY0ZTdjYjAiLCJ1c2VySWQiOiIxMDM1MDI2NTIwIn0=</vt:lpwstr>
  </property>
</Properties>
</file>